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b w:val="1"/>
          <w:bCs w:val="1"/>
          <w:outline w:val="0"/>
          <w:color w:val="1f3864"/>
          <w:sz w:val="26"/>
          <w:szCs w:val="26"/>
          <w:u w:color="1f3864"/>
          <w:rtl w:val="0"/>
          <w:lang w:val="en-US"/>
          <w14:textFill>
            <w14:solidFill>
              <w14:srgbClr w14:val="1F3864"/>
            </w14:solidFill>
          </w14:textFill>
        </w:rPr>
        <w:t xml:space="preserve">STROBE Statement </w:t>
      </w:r>
      <w:r>
        <w:rPr>
          <w:rFonts w:ascii="Arial" w:hAnsi="Arial" w:hint="default"/>
          <w:b w:val="1"/>
          <w:bCs w:val="1"/>
          <w:outline w:val="0"/>
          <w:color w:val="1f3864"/>
          <w:sz w:val="26"/>
          <w:szCs w:val="26"/>
          <w:u w:color="1f3864"/>
          <w:rtl w:val="0"/>
          <w:lang w:val="en-US"/>
          <w14:textFill>
            <w14:solidFill>
              <w14:srgbClr w14:val="1F3864"/>
            </w14:solidFill>
          </w14:textFill>
        </w:rPr>
        <w:t xml:space="preserve">— </w:t>
      </w:r>
      <w:r>
        <w:rPr>
          <w:rFonts w:ascii="Arial" w:hAnsi="Arial"/>
          <w:b w:val="1"/>
          <w:bCs w:val="1"/>
          <w:outline w:val="0"/>
          <w:color w:val="1f3864"/>
          <w:sz w:val="26"/>
          <w:szCs w:val="26"/>
          <w:u w:color="1f3864"/>
          <w:rtl w:val="0"/>
          <w:lang w:val="en-US"/>
          <w14:textFill>
            <w14:solidFill>
              <w14:srgbClr w14:val="1F3864"/>
            </w14:solidFill>
          </w14:textFill>
        </w:rPr>
        <w:t>Checklist for Cohort Studies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Mittal N, Mittal A. Modified HEART Score Validation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en-US"/>
        </w:rPr>
        <w:t xml:space="preserve">—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BLK-MAX ED, New Delhi. 2022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–</w:t>
      </w:r>
      <w:r>
        <w:rPr>
          <w:rFonts w:ascii="Arial" w:hAnsi="Arial"/>
          <w:b w:val="1"/>
          <w:bCs w:val="1"/>
          <w:sz w:val="20"/>
          <w:szCs w:val="20"/>
          <w:rtl w:val="0"/>
        </w:rPr>
        <w:t>2023.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sz w:val="20"/>
          <w:szCs w:val="20"/>
          <w:rtl w:val="0"/>
          <w:lang w:val="en-US"/>
        </w:rPr>
        <w:t>International Journal of Emergency Medicine | Manuscript ID: a649d79b-a112-4e2b-9090-44be1b8bd503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Reference: Vandenbroucke JP et al. Strengthening the Reporting of Observational Studies in Epidemiology (STROBE). Ann Intern Med. 2007;147(8):573</w:t>
      </w:r>
      <w:r>
        <w:rPr>
          <w:rFonts w:ascii="Arial" w:hAnsi="Arial" w:hint="default"/>
          <w:i w:val="1"/>
          <w:iCs w:val="1"/>
          <w:sz w:val="18"/>
          <w:szCs w:val="18"/>
          <w:rtl w:val="0"/>
        </w:rPr>
        <w:t>–</w:t>
      </w:r>
      <w:r>
        <w:rPr>
          <w:rFonts w:ascii="Arial" w:hAnsi="Arial"/>
          <w:i w:val="1"/>
          <w:iCs w:val="1"/>
          <w:sz w:val="18"/>
          <w:szCs w:val="18"/>
          <w:rtl w:val="0"/>
        </w:rPr>
        <w:t>7.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0"/>
        <w:gridCol w:w="400"/>
        <w:gridCol w:w="3960"/>
        <w:gridCol w:w="3400"/>
      </w:tblGrid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Section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Item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Recommendation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Location in Manuscript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>Title &amp; Abstract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Indicate the study's design with a commonly used term in the title or the abstract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Title includes 'Prospective Observational Study'; Abstract structured per BMC guidelines.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Provide in the abstract an informative and balanced summary of what was done and what was found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Structured abstract: Background/Methods/Results/Conclusion. All key outcomes reported.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Introduction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2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1 Background: chest pain epidemiology, Indian CVD burden, DM prevalence, MHS derivation cited (refs 1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11).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3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State specific objectives, including any pre-specified hypotheses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1 final paragraph: primary objective (MHS validation) and pre-specified secondary analysis (DM stratification) stated.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Study Design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4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Present key elements of study design early in the paper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2.1: 'prospective observational cohort study' stated explicitly.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93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Setting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5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2.1: BLK-MAX Super Specialty Hospital, Pusa Road, New Delhi; June 2022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November 2023 (18 months); ED caseload profile described.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556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Participants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6a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the eligibility criteria, and the sources and methods of selection of participants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2.2: Inclusion criteria (age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≥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18, chest pain/equivalent, onset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≤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7 days); exclusion criteria (trauma, malignancy, pregnancy, STEMI, AMA) stated. Consecutive enrolment.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6b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For matched studies, give matching criteria and number of matched sets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N/A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not a matched study.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93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Variables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7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Clearly define all outcomes, exposures, predictors, potential confounders, and effect modifiers. Give diagnostic criteria if applicable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2.3: MHS components (H,E,A,R,T) defined with scoring criteria.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2.4: 30-day MACE composite defined. Risk factors for R component listed. hs-cTnI reference range stated.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67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Data Sources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8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2.3: hs-cTnI reference range 0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34 pg/mL; ECG criteria for scoring defined.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2.5: SPSS v22 stated.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556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Bias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9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Describe any efforts taken to address potential sources of bias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2.2: Consecutive enrolment to minimise selection bias.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4.5 Limitations: loss-to-follow-up bias acknowledged; interrater variability acknowledged; pre-hospital medication effect noted.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93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Study Size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10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Explain how the study size was arrived at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2.3 Sample Size: based on Six et al. (2008) framework; 80% power,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α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=0.05; minimum 33 MACE events; MACE prevalence estimated 25%; required n=165.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93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Quantitative Variables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11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2.3: MHS total (0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10) categorised as Low/Medium/High per published thresholds. Threshold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≥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 as binary positive screen. Rationale: standard published cut-offs.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Methods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Statistical Methods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12a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Describe all statistical methods, including those used to control for confounding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2.5: Chi-squared, Fisher's exact, sensitivity/specificity/PPV/NPV (Wilson CIs), AUC-ROC, SPSS v22 stated.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12b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Describe any methods used to examine subgroups and interactions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2.5: Pre-specified secondary analysis: DM vs non-DM MACE rates across risk strata.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12c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Explain how missing data were addressed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4.5 Limitations: loss-to-follow-up for telephone follow-up acknowledged as potential bias. No imputation used.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12d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If applicable, describe analytical methods taking account of sampling strategy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N/A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consecutive enrolment, no complex sampling.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12e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Describe any sensitivity analyses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Not performed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single-centre observational study. Acknowledged as limitation.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Results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Participants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13a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Report numbers of individuals at each stage of study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3.1: 165 enrolled (97% of eligible); 8 declined consent; 4 met post-screening exclusion.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13b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reasons for non-participation at each stage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3.1: Reasons stated (declined consent, exclusion criteria met).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13c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Consider use of a flow diagram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 xml:space="preserve">Recommended </w:t>
            </w:r>
            <w:r>
              <w:rPr>
                <w:rFonts w:ascii="Arial" w:hAnsi="Arial" w:hint="default"/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flow diagram not included. Consider adding as Figure.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Results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Descriptive Data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14a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characteristics of study participants and information on exposures and potential confounders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Table 1: age, sex, DM, MACE prevalence.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3.1 narrative.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14b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Indicate number of participants with missing data for each variable of interest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14:textFill>
                  <w14:solidFill>
                    <w14:srgbClr w14:val="C00000"/>
                  </w14:solidFill>
                </w14:textFill>
              </w:rPr>
              <w:t>§</w:t>
            </w:r>
            <w:r>
              <w:rPr>
                <w:rFonts w:ascii="Arial" w:hAnsi="Arial"/>
                <w:b w:val="1"/>
                <w:bCs w:val="1"/>
                <w:outline w:val="0"/>
                <w:color w:val="c00000"/>
                <w:sz w:val="20"/>
                <w:szCs w:val="20"/>
                <w:u w:color="c00000"/>
                <w:shd w:val="nil" w:color="auto" w:fill="auto"/>
                <w:rtl w:val="0"/>
                <w:lang w:val="en-US"/>
                <w14:textFill>
                  <w14:solidFill>
                    <w14:srgbClr w14:val="C00000"/>
                  </w14:solidFill>
                </w14:textFill>
              </w:rPr>
              <w:t>4.5 Limitations: no formal missing data tracking; telephone follow-up loss noted. Partial.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Results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Outcome Data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15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Report numbers of outcome events or summary measures over time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3.2 and Table 2: MACE by risk stratum.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3.3 and Table 3: diagnostic performance.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3.5 Tables 4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 xml:space="preserve">5: DM stratification.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Results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Main Results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16a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unadjusted estimates and, if applicable, confounder-adjusted estimates and their precision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Table 3: all diagnostic metrics with Wilson 95% CIs. Table 4: OR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≈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4.7 for DM vs non-DM.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16b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Report category boundaries when continuous variables were categorized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2.3: MHS categories: Low 0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>3, Medium 4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6, High 7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10. Binary threshold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≥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4.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16c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If relevant, consider translating estimates of relative risk into absolute risk for a meaningful time period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3.5: Absolute MACE rates per stratum and per DM status reported throughout.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Results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Other Analyses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17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Report other analyses done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e.g. analyses of subgroups and interactions, and sensitivity analyses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de-DE"/>
              </w:rPr>
              <w:t xml:space="preserve">3.4 gender/age subgroup;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3.5 DM secondary analysis (pre-specified).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Discussion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Key Results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18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Summarise key results with reference to study objectives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 Discussion opens with five principal observations directly addressing study objectives.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293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Discussion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Limitations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19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Discuss limitations of the study, taking into account sources of potential bias or imprecision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4.5 Limitations: single-centre, referral bias, sample size, follow-up, interrater reliability, no multivariate analysis, pre-hospital medication effect.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Discussion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Interpretation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20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a cautious overall interpretation of results considering objectives, limitations, multiplicity of analyses, and results from similar studies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4.1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–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4.3: Results contextualised against Van Den Berg (meta-analysis), de Hoog (Asian cohorts), Reddy et al. (Indian data).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31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Discussion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it-IT"/>
              </w:rPr>
              <w:t>Generalisability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21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Discuss the generalisability (external validity) of the study results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4.4 and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5: Explicitly discusses applicability to Indian tertiary EDs.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>§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4.5: Limitations discuss single-centre setting.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  <w:tr>
        <w:tblPrEx>
          <w:shd w:val="clear" w:color="auto" w:fill="ced7e7"/>
        </w:tblPrEx>
        <w:trPr>
          <w:trHeight w:val="1004" w:hRule="atLeast"/>
        </w:trPr>
        <w:tc>
          <w:tcPr>
            <w:tcW w:type="dxa" w:w="16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Other Information 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Funding</w:t>
            </w:r>
          </w:p>
        </w:tc>
        <w:tc>
          <w:tcPr>
            <w:tcW w:type="dxa" w:w="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</w:rPr>
              <w:t>22</w:t>
            </w:r>
          </w:p>
        </w:tc>
        <w:tc>
          <w:tcPr>
            <w:tcW w:type="dxa" w:w="396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type="dxa" w:w="3400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999999" w:sz="1" w:space="0" w:shadow="0" w:frame="0"/>
              <w:right w:val="single" w:color="999999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</w:rPr>
              <w:t xml:space="preserve">Declarations: 'No external funding was received for this study.' 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0"/>
                <w:szCs w:val="20"/>
                <w:u w:color="000000"/>
                <w:shd w:val="nil" w:color="auto" w:fill="auto"/>
                <w:rtl w:val="0"/>
              </w:rPr>
              <w:t>✓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b w:val="1"/>
          <w:bCs w:val="1"/>
          <w:outline w:val="0"/>
          <w:color w:val="1f3864"/>
          <w:sz w:val="20"/>
          <w:szCs w:val="20"/>
          <w:u w:color="1f3864"/>
          <w:rtl w:val="0"/>
          <w:lang w:val="de-DE"/>
          <w14:textFill>
            <w14:solidFill>
              <w14:srgbClr w14:val="1F3864"/>
            </w14:solidFill>
          </w14:textFill>
        </w:rPr>
        <w:t>Notes: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 w:hint="default"/>
          <w:sz w:val="20"/>
          <w:szCs w:val="20"/>
          <w:rtl w:val="0"/>
        </w:rPr>
        <w:t xml:space="preserve">† </w:t>
      </w:r>
      <w:r>
        <w:rPr>
          <w:rFonts w:ascii="Arial" w:hAnsi="Arial"/>
          <w:sz w:val="20"/>
          <w:szCs w:val="20"/>
          <w:rtl w:val="0"/>
          <w:lang w:val="en-US"/>
        </w:rPr>
        <w:t>Items flagged in red represent areas where additional information may strengthen the submission: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 w:hint="default"/>
          <w:sz w:val="20"/>
          <w:szCs w:val="20"/>
          <w:rtl w:val="0"/>
        </w:rPr>
        <w:t xml:space="preserve">  • </w:t>
      </w:r>
      <w:r>
        <w:rPr>
          <w:rFonts w:ascii="Arial" w:hAnsi="Arial"/>
          <w:sz w:val="20"/>
          <w:szCs w:val="20"/>
          <w:rtl w:val="0"/>
          <w:lang w:val="en-US"/>
        </w:rPr>
        <w:t>Item 13c: A participant flow diagram is recommended by STROBE; consider adding as an Additional File.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 w:hint="default"/>
          <w:sz w:val="20"/>
          <w:szCs w:val="20"/>
          <w:rtl w:val="0"/>
        </w:rPr>
        <w:t xml:space="preserve">  • </w:t>
      </w:r>
      <w:r>
        <w:rPr>
          <w:rFonts w:ascii="Arial" w:hAnsi="Arial"/>
          <w:sz w:val="20"/>
          <w:szCs w:val="20"/>
          <w:rtl w:val="0"/>
          <w:lang w:val="en-US"/>
        </w:rPr>
        <w:t>Item 14b: Missing data for telephone follow-up not formally quantified; acknowledged in Limitations (</w:t>
      </w:r>
      <w:r>
        <w:rPr>
          <w:rFonts w:ascii="Arial" w:hAnsi="Arial" w:hint="default"/>
          <w:sz w:val="20"/>
          <w:szCs w:val="20"/>
          <w:rtl w:val="0"/>
        </w:rPr>
        <w:t>§</w:t>
      </w:r>
      <w:r>
        <w:rPr>
          <w:rFonts w:ascii="Arial" w:hAnsi="Arial"/>
          <w:sz w:val="20"/>
          <w:szCs w:val="20"/>
          <w:rtl w:val="0"/>
        </w:rPr>
        <w:t>4.5).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sz w:val="20"/>
          <w:szCs w:val="20"/>
          <w:rtl w:val="0"/>
          <w:lang w:val="en-US"/>
        </w:rPr>
        <w:t>All other items are fully addressed in the manuscript. This checklist was prepared by the corresponding author (NM) in accordance with the STROBE guidelines for observational cohort studies.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Corresponding author: </w:t>
      </w:r>
      <w:r>
        <w:rPr>
          <w:rFonts w:ascii="Arial" w:hAnsi="Arial"/>
          <w:sz w:val="20"/>
          <w:szCs w:val="20"/>
          <w:rtl w:val="0"/>
        </w:rPr>
        <w:t>Dr. Nikit Mittal | nikscorp175@gmail.com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Date: </w:t>
      </w:r>
      <w:r>
        <w:rPr>
          <w:rFonts w:ascii="Arial" w:hAnsi="Arial"/>
          <w:sz w:val="20"/>
          <w:szCs w:val="20"/>
          <w:rtl w:val="0"/>
          <w:lang w:val="en-US"/>
        </w:rPr>
        <w:t>30 March 2026</w:t>
      </w:r>
    </w:p>
    <w:sectPr>
      <w:headerReference w:type="default" r:id="rId4"/>
      <w:footerReference w:type="default" r:id="rId5"/>
      <w:pgSz w:w="12240" w:h="15840" w:orient="portrait"/>
      <w:pgMar w:top="1080" w:right="1260" w:bottom="1080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