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FC732" w14:textId="77777777" w:rsidR="005B0CA7" w:rsidRDefault="005B0CA7" w:rsidP="005B0CA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3A4B1D">
        <w:rPr>
          <w:rFonts w:ascii="Times New Roman" w:hAnsi="Times New Roman" w:cs="Times New Roman"/>
          <w:b/>
          <w:bCs/>
          <w:sz w:val="44"/>
          <w:szCs w:val="44"/>
        </w:rPr>
        <w:t>Graphical Abstract</w:t>
      </w:r>
    </w:p>
    <w:p w14:paraId="3989BDFA" w14:textId="77777777" w:rsidR="005B0CA7" w:rsidRPr="00797C34" w:rsidRDefault="005B0CA7" w:rsidP="005B0CA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97C34">
        <w:rPr>
          <w:rFonts w:ascii="Times New Roman" w:hAnsi="Times New Roman" w:cs="Times New Roman"/>
          <w:b/>
          <w:bCs/>
          <w:sz w:val="36"/>
          <w:szCs w:val="36"/>
        </w:rPr>
        <w:t>Mechanistic hypothesis derived from pilot in-vitro data</w:t>
      </w:r>
    </w:p>
    <w:p w14:paraId="744A007A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  <w:r w:rsidRPr="003A4B1D">
        <w:rPr>
          <w:rFonts w:ascii="Times New Roman" w:hAnsi="Times New Roman" w:cs="Times New Roman"/>
          <w:noProof/>
        </w:rPr>
        <w:drawing>
          <wp:inline distT="0" distB="0" distL="0" distR="0" wp14:anchorId="030A4210" wp14:editId="3B951922">
            <wp:extent cx="5655310" cy="3452495"/>
            <wp:effectExtent l="0" t="0" r="2540" b="0"/>
            <wp:docPr id="13289107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91079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5310" cy="345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12E4C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0659FBB2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45198639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7F3F1923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32B44B27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49B3DF53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148B49EC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3E9FA340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0D4690CA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672D543F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5105DDEF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69200CFD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0D9F26B9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2D9D2E65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  <w:r w:rsidRPr="00FD09D3">
        <w:rPr>
          <w:rFonts w:ascii="Times New Roman" w:hAnsi="Times New Roman" w:cs="Times New Roman"/>
          <w:noProof/>
        </w:rPr>
        <w:drawing>
          <wp:inline distT="0" distB="0" distL="0" distR="0" wp14:anchorId="61F20578" wp14:editId="1CC8AE74">
            <wp:extent cx="5655310" cy="3648075"/>
            <wp:effectExtent l="0" t="0" r="2540" b="9525"/>
            <wp:docPr id="14929750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97506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531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9B276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  <w:r w:rsidRPr="00B55835">
        <w:rPr>
          <w:rFonts w:ascii="Times New Roman" w:hAnsi="Times New Roman" w:cs="Times New Roman"/>
          <w:b/>
          <w:bCs/>
        </w:rPr>
        <w:t>Graphical Abstract | A fluid-dynamic pathway to cardiovascular injury.</w:t>
      </w:r>
      <w:r w:rsidRPr="00B55835">
        <w:rPr>
          <w:rFonts w:ascii="Times New Roman" w:hAnsi="Times New Roman" w:cs="Times New Roman"/>
        </w:rPr>
        <w:br/>
        <w:t>Decompression-induced microbubble nucleation transforms blood into a compressible bubbly mixture that reduces sound speed and promotes multiphase flow choking at vascular constrictions. Violent bubble collapse at the choking limit produces shock-like pressure spikes and localized heating, amplifying arterial wall stress and providing a potential physical mechanism for acute cardiovascular events.</w:t>
      </w:r>
    </w:p>
    <w:p w14:paraId="490FFD35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0571B7C5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76A3BF0E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02E568A9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35ECD684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59EE457E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24ECE4D1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2F12EAF0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03CBB7D5" w14:textId="77777777" w:rsidR="005B0CA7" w:rsidRDefault="005B0CA7" w:rsidP="005B0CA7">
      <w:pPr>
        <w:spacing w:after="0" w:line="480" w:lineRule="auto"/>
        <w:jc w:val="both"/>
        <w:rPr>
          <w:rFonts w:ascii="Times New Roman" w:hAnsi="Times New Roman" w:cs="Times New Roman"/>
        </w:rPr>
      </w:pPr>
      <w:r w:rsidRPr="00FD09D3">
        <w:rPr>
          <w:rFonts w:ascii="Times New Roman" w:hAnsi="Times New Roman" w:cs="Times New Roman"/>
          <w:noProof/>
        </w:rPr>
        <w:drawing>
          <wp:inline distT="0" distB="0" distL="0" distR="0" wp14:anchorId="59D95428" wp14:editId="017E6F55">
            <wp:extent cx="5655310" cy="3409950"/>
            <wp:effectExtent l="0" t="0" r="2540" b="0"/>
            <wp:docPr id="453184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18414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531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F6C54" w14:textId="39581429" w:rsidR="00F553FF" w:rsidRDefault="005B0CA7" w:rsidP="005B0CA7">
      <w:r w:rsidRPr="00B55835">
        <w:rPr>
          <w:rFonts w:ascii="Times New Roman" w:hAnsi="Times New Roman" w:cs="Times New Roman"/>
        </w:rPr>
        <w:t>Graphical Abstract |</w:t>
      </w:r>
      <w:r>
        <w:rPr>
          <w:rFonts w:ascii="Times New Roman" w:hAnsi="Times New Roman" w:cs="Times New Roman"/>
        </w:rPr>
        <w:t xml:space="preserve"> </w:t>
      </w:r>
      <w:r w:rsidRPr="00B55835">
        <w:rPr>
          <w:rFonts w:ascii="Times New Roman" w:hAnsi="Times New Roman" w:cs="Times New Roman"/>
        </w:rPr>
        <w:t>Decompression-induced bubble growth, collapse, and cavitation drive shock waves and vapor-lock–like vascular flow in</w:t>
      </w: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CA7"/>
    <w:rsid w:val="003C2EF4"/>
    <w:rsid w:val="00446799"/>
    <w:rsid w:val="005B0CA7"/>
    <w:rsid w:val="006A7E07"/>
    <w:rsid w:val="00701021"/>
    <w:rsid w:val="0097674E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9E149"/>
  <w15:chartTrackingRefBased/>
  <w15:docId w15:val="{4700B276-8795-4194-B490-3C89B0EF4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CA7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0C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C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C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C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C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C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C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C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C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0C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C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C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C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C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C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C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C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C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0C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B0C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C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B0C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0CA7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B0C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0CA7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5B0C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C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C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0C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</Words>
  <Characters>622</Characters>
  <Application>Microsoft Office Word</Application>
  <DocSecurity>0</DocSecurity>
  <Lines>10</Lines>
  <Paragraphs>3</Paragraphs>
  <ScaleCrop>false</ScaleCrop>
  <Company>Springer Nature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2026-03-31T03:35:00Z</dcterms:created>
  <dcterms:modified xsi:type="dcterms:W3CDTF">2026-03-31T03:35:00Z</dcterms:modified>
</cp:coreProperties>
</file>