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2CDF4" w14:textId="77777777" w:rsidR="00243342" w:rsidRDefault="00243342" w:rsidP="0024334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Table S1. Descriptive statistics for ROBOTH items</w:t>
      </w:r>
    </w:p>
    <w:tbl>
      <w:tblPr>
        <w:tblW w:w="936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200"/>
        <w:gridCol w:w="1117"/>
        <w:gridCol w:w="724"/>
        <w:gridCol w:w="1040"/>
        <w:gridCol w:w="733"/>
        <w:gridCol w:w="1127"/>
        <w:gridCol w:w="683"/>
        <w:gridCol w:w="738"/>
      </w:tblGrid>
      <w:tr w:rsidR="00243342" w14:paraId="12B4FF8B" w14:textId="77777777" w:rsidTr="005743AB">
        <w:tc>
          <w:tcPr>
            <w:tcW w:w="3200" w:type="dxa"/>
            <w:tcBorders>
              <w:top w:val="single" w:sz="4" w:space="0" w:color="000000"/>
            </w:tcBorders>
            <w:vAlign w:val="center"/>
          </w:tcPr>
          <w:p w14:paraId="6D23B5D9" w14:textId="77777777" w:rsidR="00243342" w:rsidRDefault="00243342" w:rsidP="005743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Item</w:t>
            </w:r>
          </w:p>
        </w:tc>
        <w:tc>
          <w:tcPr>
            <w:tcW w:w="1117" w:type="dxa"/>
            <w:tcBorders>
              <w:top w:val="single" w:sz="4" w:space="0" w:color="000000"/>
            </w:tcBorders>
            <w:vAlign w:val="center"/>
          </w:tcPr>
          <w:p w14:paraId="0E04261E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5037101C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(AI much less capable than humans)</w:t>
            </w:r>
          </w:p>
        </w:tc>
        <w:tc>
          <w:tcPr>
            <w:tcW w:w="724" w:type="dxa"/>
            <w:tcBorders>
              <w:top w:val="single" w:sz="4" w:space="0" w:color="000000"/>
            </w:tcBorders>
            <w:vAlign w:val="center"/>
          </w:tcPr>
          <w:p w14:paraId="6B71D963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</w:tcBorders>
            <w:vAlign w:val="center"/>
          </w:tcPr>
          <w:p w14:paraId="09AD954B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63450821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(AI as capable as humans)</w:t>
            </w:r>
          </w:p>
        </w:tc>
        <w:tc>
          <w:tcPr>
            <w:tcW w:w="733" w:type="dxa"/>
            <w:tcBorders>
              <w:top w:val="single" w:sz="4" w:space="0" w:color="000000"/>
            </w:tcBorders>
            <w:vAlign w:val="center"/>
          </w:tcPr>
          <w:p w14:paraId="6A55C86E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27" w:type="dxa"/>
            <w:tcBorders>
              <w:top w:val="single" w:sz="4" w:space="0" w:color="000000"/>
            </w:tcBorders>
            <w:vAlign w:val="center"/>
          </w:tcPr>
          <w:p w14:paraId="77F71A1F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5DB20242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(AI much more capable than humans)</w:t>
            </w:r>
          </w:p>
        </w:tc>
        <w:tc>
          <w:tcPr>
            <w:tcW w:w="683" w:type="dxa"/>
            <w:tcBorders>
              <w:top w:val="single" w:sz="4" w:space="0" w:color="000000"/>
            </w:tcBorders>
            <w:vAlign w:val="center"/>
          </w:tcPr>
          <w:p w14:paraId="110D8681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</w:tcBorders>
            <w:vAlign w:val="center"/>
          </w:tcPr>
          <w:p w14:paraId="4EEDC540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43342" w14:paraId="546AB143" w14:textId="77777777" w:rsidTr="005743AB">
        <w:tc>
          <w:tcPr>
            <w:tcW w:w="3200" w:type="dxa"/>
            <w:tcBorders>
              <w:bottom w:val="single" w:sz="4" w:space="0" w:color="000000"/>
            </w:tcBorders>
            <w:vAlign w:val="center"/>
          </w:tcPr>
          <w:p w14:paraId="44BC426D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7" w:type="dxa"/>
            <w:tcBorders>
              <w:bottom w:val="single" w:sz="4" w:space="0" w:color="000000"/>
            </w:tcBorders>
            <w:vAlign w:val="center"/>
          </w:tcPr>
          <w:p w14:paraId="054D1BA7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724" w:type="dxa"/>
            <w:tcBorders>
              <w:bottom w:val="single" w:sz="4" w:space="0" w:color="000000"/>
            </w:tcBorders>
            <w:vAlign w:val="center"/>
          </w:tcPr>
          <w:p w14:paraId="7A2A9727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040" w:type="dxa"/>
            <w:tcBorders>
              <w:bottom w:val="single" w:sz="4" w:space="0" w:color="000000"/>
            </w:tcBorders>
            <w:vAlign w:val="center"/>
          </w:tcPr>
          <w:p w14:paraId="4EF5A9EE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733" w:type="dxa"/>
            <w:tcBorders>
              <w:bottom w:val="single" w:sz="4" w:space="0" w:color="000000"/>
            </w:tcBorders>
            <w:vAlign w:val="center"/>
          </w:tcPr>
          <w:p w14:paraId="4184E58E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2267471D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683" w:type="dxa"/>
            <w:tcBorders>
              <w:bottom w:val="single" w:sz="4" w:space="0" w:color="000000"/>
            </w:tcBorders>
            <w:vAlign w:val="center"/>
          </w:tcPr>
          <w:p w14:paraId="6F1FE4CC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Mode</w:t>
            </w:r>
          </w:p>
        </w:tc>
        <w:tc>
          <w:tcPr>
            <w:tcW w:w="738" w:type="dxa"/>
            <w:tcBorders>
              <w:bottom w:val="single" w:sz="4" w:space="0" w:color="000000"/>
            </w:tcBorders>
            <w:vAlign w:val="center"/>
          </w:tcPr>
          <w:p w14:paraId="359947F7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 (SD)</w:t>
            </w:r>
          </w:p>
        </w:tc>
      </w:tr>
      <w:tr w:rsidR="00243342" w14:paraId="0FBD4463" w14:textId="77777777" w:rsidTr="005743AB">
        <w:tc>
          <w:tcPr>
            <w:tcW w:w="3200" w:type="dxa"/>
            <w:tcBorders>
              <w:top w:val="single" w:sz="4" w:space="0" w:color="000000"/>
            </w:tcBorders>
            <w:vAlign w:val="center"/>
          </w:tcPr>
          <w:p w14:paraId="1C1F2BB6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 algorithms can analyze individual patient characteristics (genetic, clinical, and environmental) and suggest optimal treatment plans for each specific case</w:t>
            </w:r>
          </w:p>
        </w:tc>
        <w:tc>
          <w:tcPr>
            <w:tcW w:w="1117" w:type="dxa"/>
            <w:tcBorders>
              <w:top w:val="single" w:sz="4" w:space="0" w:color="000000"/>
            </w:tcBorders>
            <w:vAlign w:val="center"/>
          </w:tcPr>
          <w:p w14:paraId="72DCACD2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 (9.0)</w:t>
            </w:r>
          </w:p>
        </w:tc>
        <w:tc>
          <w:tcPr>
            <w:tcW w:w="724" w:type="dxa"/>
            <w:tcBorders>
              <w:top w:val="single" w:sz="4" w:space="0" w:color="000000"/>
            </w:tcBorders>
            <w:vAlign w:val="center"/>
          </w:tcPr>
          <w:p w14:paraId="16DEEDFA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 (25.6)</w:t>
            </w:r>
          </w:p>
        </w:tc>
        <w:tc>
          <w:tcPr>
            <w:tcW w:w="1040" w:type="dxa"/>
            <w:tcBorders>
              <w:top w:val="single" w:sz="4" w:space="0" w:color="000000"/>
            </w:tcBorders>
            <w:vAlign w:val="center"/>
          </w:tcPr>
          <w:p w14:paraId="015C42B3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 (34.2)</w:t>
            </w:r>
          </w:p>
        </w:tc>
        <w:tc>
          <w:tcPr>
            <w:tcW w:w="733" w:type="dxa"/>
            <w:tcBorders>
              <w:top w:val="single" w:sz="4" w:space="0" w:color="000000"/>
            </w:tcBorders>
            <w:vAlign w:val="center"/>
          </w:tcPr>
          <w:p w14:paraId="4B778D51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 (26.6)</w:t>
            </w:r>
          </w:p>
        </w:tc>
        <w:tc>
          <w:tcPr>
            <w:tcW w:w="1127" w:type="dxa"/>
            <w:tcBorders>
              <w:top w:val="single" w:sz="4" w:space="0" w:color="000000"/>
            </w:tcBorders>
            <w:vAlign w:val="center"/>
          </w:tcPr>
          <w:p w14:paraId="4475306C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(4.5)</w:t>
            </w:r>
          </w:p>
        </w:tc>
        <w:tc>
          <w:tcPr>
            <w:tcW w:w="683" w:type="dxa"/>
            <w:tcBorders>
              <w:top w:val="single" w:sz="4" w:space="0" w:color="000000"/>
            </w:tcBorders>
            <w:vAlign w:val="center"/>
          </w:tcPr>
          <w:p w14:paraId="5ECF75ED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8" w:type="dxa"/>
            <w:tcBorders>
              <w:top w:val="single" w:sz="4" w:space="0" w:color="000000"/>
            </w:tcBorders>
            <w:vAlign w:val="center"/>
          </w:tcPr>
          <w:p w14:paraId="57EBE501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2.92 (1.03)</w:t>
            </w:r>
          </w:p>
        </w:tc>
      </w:tr>
      <w:tr w:rsidR="00243342" w14:paraId="21D374EE" w14:textId="77777777" w:rsidTr="005743AB">
        <w:tc>
          <w:tcPr>
            <w:tcW w:w="3200" w:type="dxa"/>
            <w:vAlign w:val="center"/>
          </w:tcPr>
          <w:p w14:paraId="6AF54874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 can assist healthcare professionals in diagnosing complex diseases by rapidly analyzing large volumes of medical data (such as images, medical histories, and reports) and suggesting probable diagnoses</w:t>
            </w:r>
          </w:p>
        </w:tc>
        <w:tc>
          <w:tcPr>
            <w:tcW w:w="1117" w:type="dxa"/>
            <w:vAlign w:val="center"/>
          </w:tcPr>
          <w:p w14:paraId="5EE976B6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 (3.0)</w:t>
            </w:r>
          </w:p>
        </w:tc>
        <w:tc>
          <w:tcPr>
            <w:tcW w:w="724" w:type="dxa"/>
            <w:vAlign w:val="center"/>
          </w:tcPr>
          <w:p w14:paraId="3D7C0599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 (14.6)</w:t>
            </w:r>
          </w:p>
        </w:tc>
        <w:tc>
          <w:tcPr>
            <w:tcW w:w="1040" w:type="dxa"/>
            <w:vAlign w:val="center"/>
          </w:tcPr>
          <w:p w14:paraId="59EFA47C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 (18.1)</w:t>
            </w:r>
          </w:p>
        </w:tc>
        <w:tc>
          <w:tcPr>
            <w:tcW w:w="733" w:type="dxa"/>
            <w:vAlign w:val="center"/>
          </w:tcPr>
          <w:p w14:paraId="59860415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 (39.7)</w:t>
            </w:r>
          </w:p>
        </w:tc>
        <w:tc>
          <w:tcPr>
            <w:tcW w:w="1127" w:type="dxa"/>
            <w:vAlign w:val="center"/>
          </w:tcPr>
          <w:p w14:paraId="05578E12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 (24.6)</w:t>
            </w:r>
          </w:p>
        </w:tc>
        <w:tc>
          <w:tcPr>
            <w:tcW w:w="683" w:type="dxa"/>
            <w:vAlign w:val="center"/>
          </w:tcPr>
          <w:p w14:paraId="0AF2065C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8" w:type="dxa"/>
            <w:vAlign w:val="center"/>
          </w:tcPr>
          <w:p w14:paraId="01EAA548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3.68 (1.09)</w:t>
            </w:r>
          </w:p>
        </w:tc>
      </w:tr>
      <w:tr w:rsidR="00243342" w14:paraId="506D011B" w14:textId="77777777" w:rsidTr="005743AB">
        <w:tc>
          <w:tcPr>
            <w:tcW w:w="3200" w:type="dxa"/>
            <w:vAlign w:val="center"/>
          </w:tcPr>
          <w:p w14:paraId="483983AA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 can analyze patient data (such as medical images, symptoms, and medical history) to detect diseases at an early stage, improving treatment outcomes</w:t>
            </w:r>
          </w:p>
        </w:tc>
        <w:tc>
          <w:tcPr>
            <w:tcW w:w="1117" w:type="dxa"/>
            <w:vAlign w:val="center"/>
          </w:tcPr>
          <w:p w14:paraId="617CD9E3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 (8.5)</w:t>
            </w:r>
          </w:p>
        </w:tc>
        <w:tc>
          <w:tcPr>
            <w:tcW w:w="724" w:type="dxa"/>
            <w:vAlign w:val="center"/>
          </w:tcPr>
          <w:p w14:paraId="0DBFBE19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 (23.6)</w:t>
            </w:r>
          </w:p>
        </w:tc>
        <w:tc>
          <w:tcPr>
            <w:tcW w:w="1040" w:type="dxa"/>
            <w:vAlign w:val="center"/>
          </w:tcPr>
          <w:p w14:paraId="0FEC7663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 (17.6)</w:t>
            </w:r>
          </w:p>
        </w:tc>
        <w:tc>
          <w:tcPr>
            <w:tcW w:w="733" w:type="dxa"/>
            <w:vAlign w:val="center"/>
          </w:tcPr>
          <w:p w14:paraId="7D867B5E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 (36.2)</w:t>
            </w:r>
          </w:p>
        </w:tc>
        <w:tc>
          <w:tcPr>
            <w:tcW w:w="1127" w:type="dxa"/>
            <w:vAlign w:val="center"/>
          </w:tcPr>
          <w:p w14:paraId="2B37C953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 (14.1)</w:t>
            </w:r>
          </w:p>
        </w:tc>
        <w:tc>
          <w:tcPr>
            <w:tcW w:w="683" w:type="dxa"/>
            <w:vAlign w:val="center"/>
          </w:tcPr>
          <w:p w14:paraId="16333884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8" w:type="dxa"/>
            <w:vAlign w:val="center"/>
          </w:tcPr>
          <w:p w14:paraId="460BDEBE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3.24 (1.21)</w:t>
            </w:r>
          </w:p>
        </w:tc>
      </w:tr>
      <w:tr w:rsidR="00243342" w14:paraId="6E27984D" w14:textId="77777777" w:rsidTr="005743AB">
        <w:tc>
          <w:tcPr>
            <w:tcW w:w="3200" w:type="dxa"/>
            <w:vAlign w:val="center"/>
          </w:tcPr>
          <w:p w14:paraId="00D039BC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Wearable devices (such as smartwatches) use AI to monitor vital signs in real time – such as heart rate, glucose levels, or sleep quality – and alert patients to potential abnormalities</w:t>
            </w:r>
          </w:p>
        </w:tc>
        <w:tc>
          <w:tcPr>
            <w:tcW w:w="1117" w:type="dxa"/>
            <w:vAlign w:val="center"/>
          </w:tcPr>
          <w:p w14:paraId="4F439B5E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(2.0)</w:t>
            </w:r>
          </w:p>
        </w:tc>
        <w:tc>
          <w:tcPr>
            <w:tcW w:w="724" w:type="dxa"/>
            <w:vAlign w:val="center"/>
          </w:tcPr>
          <w:p w14:paraId="6FAC3638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 (10.1)</w:t>
            </w:r>
          </w:p>
        </w:tc>
        <w:tc>
          <w:tcPr>
            <w:tcW w:w="1040" w:type="dxa"/>
            <w:vAlign w:val="center"/>
          </w:tcPr>
          <w:p w14:paraId="3CA8FC2D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 (19.1)</w:t>
            </w:r>
          </w:p>
        </w:tc>
        <w:tc>
          <w:tcPr>
            <w:tcW w:w="733" w:type="dxa"/>
            <w:vAlign w:val="center"/>
          </w:tcPr>
          <w:p w14:paraId="39DF31AD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 (41.7)</w:t>
            </w:r>
          </w:p>
        </w:tc>
        <w:tc>
          <w:tcPr>
            <w:tcW w:w="1127" w:type="dxa"/>
            <w:vAlign w:val="center"/>
          </w:tcPr>
          <w:p w14:paraId="42817FD5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 (27.1)</w:t>
            </w:r>
          </w:p>
        </w:tc>
        <w:tc>
          <w:tcPr>
            <w:tcW w:w="683" w:type="dxa"/>
            <w:vAlign w:val="center"/>
          </w:tcPr>
          <w:p w14:paraId="7D11DAE1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8" w:type="dxa"/>
            <w:vAlign w:val="center"/>
          </w:tcPr>
          <w:p w14:paraId="3106D509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3.82 (1.01)</w:t>
            </w:r>
          </w:p>
        </w:tc>
      </w:tr>
      <w:tr w:rsidR="00243342" w14:paraId="13168C46" w14:textId="77777777" w:rsidTr="005743AB">
        <w:tc>
          <w:tcPr>
            <w:tcW w:w="3200" w:type="dxa"/>
            <w:vAlign w:val="center"/>
          </w:tcPr>
          <w:p w14:paraId="000AC09B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AI-based predictive analytics can help patients prevent diseases before they develop by identifying high-risk individuals and recommending preventive actions</w:t>
            </w:r>
          </w:p>
        </w:tc>
        <w:tc>
          <w:tcPr>
            <w:tcW w:w="1117" w:type="dxa"/>
            <w:vAlign w:val="center"/>
          </w:tcPr>
          <w:p w14:paraId="378BACE3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 (5.5)</w:t>
            </w:r>
          </w:p>
        </w:tc>
        <w:tc>
          <w:tcPr>
            <w:tcW w:w="724" w:type="dxa"/>
            <w:vAlign w:val="center"/>
          </w:tcPr>
          <w:p w14:paraId="04744B40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 (16.6)</w:t>
            </w:r>
          </w:p>
        </w:tc>
        <w:tc>
          <w:tcPr>
            <w:tcW w:w="1040" w:type="dxa"/>
            <w:vAlign w:val="center"/>
          </w:tcPr>
          <w:p w14:paraId="7C777BA3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 (35.2)</w:t>
            </w:r>
          </w:p>
        </w:tc>
        <w:tc>
          <w:tcPr>
            <w:tcW w:w="733" w:type="dxa"/>
            <w:vAlign w:val="center"/>
          </w:tcPr>
          <w:p w14:paraId="0ECF0E8F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 (33.2)</w:t>
            </w:r>
          </w:p>
        </w:tc>
        <w:tc>
          <w:tcPr>
            <w:tcW w:w="1127" w:type="dxa"/>
            <w:vAlign w:val="center"/>
          </w:tcPr>
          <w:p w14:paraId="386E3E9E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(9.5)</w:t>
            </w:r>
          </w:p>
        </w:tc>
        <w:tc>
          <w:tcPr>
            <w:tcW w:w="683" w:type="dxa"/>
            <w:vAlign w:val="center"/>
          </w:tcPr>
          <w:p w14:paraId="786515DA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8" w:type="dxa"/>
            <w:vAlign w:val="center"/>
          </w:tcPr>
          <w:p w14:paraId="59043FF5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3.25 (1.02)</w:t>
            </w:r>
          </w:p>
        </w:tc>
      </w:tr>
      <w:tr w:rsidR="00243342" w14:paraId="03D80E05" w14:textId="77777777" w:rsidTr="005743AB">
        <w:tc>
          <w:tcPr>
            <w:tcW w:w="3200" w:type="dxa"/>
            <w:vAlign w:val="center"/>
          </w:tcPr>
          <w:p w14:paraId="63100CFB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 systems, such as chatbots or virtual assistants, can provide initial health consultations, monitor symptoms, and refer patients to the appropriate healthcare professional</w:t>
            </w:r>
          </w:p>
        </w:tc>
        <w:tc>
          <w:tcPr>
            <w:tcW w:w="1117" w:type="dxa"/>
            <w:vAlign w:val="center"/>
          </w:tcPr>
          <w:p w14:paraId="79CED1D2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 (15.1)</w:t>
            </w:r>
          </w:p>
        </w:tc>
        <w:tc>
          <w:tcPr>
            <w:tcW w:w="724" w:type="dxa"/>
            <w:vAlign w:val="center"/>
          </w:tcPr>
          <w:p w14:paraId="0E5460ED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 (38.7)</w:t>
            </w:r>
          </w:p>
        </w:tc>
        <w:tc>
          <w:tcPr>
            <w:tcW w:w="1040" w:type="dxa"/>
            <w:vAlign w:val="center"/>
          </w:tcPr>
          <w:p w14:paraId="56170C7C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 (23.6)</w:t>
            </w:r>
          </w:p>
        </w:tc>
        <w:tc>
          <w:tcPr>
            <w:tcW w:w="733" w:type="dxa"/>
            <w:vAlign w:val="center"/>
          </w:tcPr>
          <w:p w14:paraId="4D46C737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 (17.1)</w:t>
            </w:r>
          </w:p>
        </w:tc>
        <w:tc>
          <w:tcPr>
            <w:tcW w:w="1127" w:type="dxa"/>
            <w:vAlign w:val="center"/>
          </w:tcPr>
          <w:p w14:paraId="2F555E7A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 (5.5)</w:t>
            </w:r>
          </w:p>
        </w:tc>
        <w:tc>
          <w:tcPr>
            <w:tcW w:w="683" w:type="dxa"/>
            <w:vAlign w:val="center"/>
          </w:tcPr>
          <w:p w14:paraId="79162B75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vAlign w:val="center"/>
          </w:tcPr>
          <w:p w14:paraId="628E3019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2.59 (1.11)</w:t>
            </w:r>
          </w:p>
        </w:tc>
      </w:tr>
      <w:tr w:rsidR="00243342" w14:paraId="0010D78F" w14:textId="77777777" w:rsidTr="005743AB">
        <w:tc>
          <w:tcPr>
            <w:tcW w:w="3200" w:type="dxa"/>
            <w:vAlign w:val="center"/>
          </w:tcPr>
          <w:p w14:paraId="129E8E9D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AI, combined with robotics, can assist surgeons during operations, improving precision and reducing recovery times for patients</w:t>
            </w:r>
          </w:p>
        </w:tc>
        <w:tc>
          <w:tcPr>
            <w:tcW w:w="1117" w:type="dxa"/>
            <w:vAlign w:val="center"/>
          </w:tcPr>
          <w:p w14:paraId="67D1EABC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(4.5)</w:t>
            </w:r>
          </w:p>
        </w:tc>
        <w:tc>
          <w:tcPr>
            <w:tcW w:w="724" w:type="dxa"/>
            <w:vAlign w:val="center"/>
          </w:tcPr>
          <w:p w14:paraId="7B2715FF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 (21.6)</w:t>
            </w:r>
          </w:p>
        </w:tc>
        <w:tc>
          <w:tcPr>
            <w:tcW w:w="1040" w:type="dxa"/>
            <w:vAlign w:val="center"/>
          </w:tcPr>
          <w:p w14:paraId="2583C077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 (26.6)</w:t>
            </w:r>
          </w:p>
        </w:tc>
        <w:tc>
          <w:tcPr>
            <w:tcW w:w="733" w:type="dxa"/>
            <w:vAlign w:val="center"/>
          </w:tcPr>
          <w:p w14:paraId="4A7B4D34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 (33.2)</w:t>
            </w:r>
          </w:p>
        </w:tc>
        <w:tc>
          <w:tcPr>
            <w:tcW w:w="1127" w:type="dxa"/>
            <w:vAlign w:val="center"/>
          </w:tcPr>
          <w:p w14:paraId="774D91AA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 (14.1)</w:t>
            </w:r>
          </w:p>
        </w:tc>
        <w:tc>
          <w:tcPr>
            <w:tcW w:w="683" w:type="dxa"/>
            <w:vAlign w:val="center"/>
          </w:tcPr>
          <w:p w14:paraId="75DA156D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8" w:type="dxa"/>
            <w:vAlign w:val="center"/>
          </w:tcPr>
          <w:p w14:paraId="4A74DB60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3.31 (1.09)</w:t>
            </w:r>
          </w:p>
        </w:tc>
      </w:tr>
      <w:tr w:rsidR="00243342" w14:paraId="216D1BA1" w14:textId="77777777" w:rsidTr="005743AB">
        <w:tc>
          <w:tcPr>
            <w:tcW w:w="3200" w:type="dxa"/>
            <w:vAlign w:val="center"/>
          </w:tcPr>
          <w:p w14:paraId="212A28B9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 systems can monitor medication administration in real time, analyze the risk of errors, and flag anomalies, thereby increasing patient safety</w:t>
            </w:r>
          </w:p>
        </w:tc>
        <w:tc>
          <w:tcPr>
            <w:tcW w:w="1117" w:type="dxa"/>
            <w:vAlign w:val="center"/>
          </w:tcPr>
          <w:p w14:paraId="6968F548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(1.5)</w:t>
            </w:r>
          </w:p>
        </w:tc>
        <w:tc>
          <w:tcPr>
            <w:tcW w:w="724" w:type="dxa"/>
            <w:vAlign w:val="center"/>
          </w:tcPr>
          <w:p w14:paraId="7A96BBD8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 (12.1)</w:t>
            </w:r>
          </w:p>
        </w:tc>
        <w:tc>
          <w:tcPr>
            <w:tcW w:w="1040" w:type="dxa"/>
            <w:vAlign w:val="center"/>
          </w:tcPr>
          <w:p w14:paraId="03B154DE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 (19.6)</w:t>
            </w:r>
          </w:p>
        </w:tc>
        <w:tc>
          <w:tcPr>
            <w:tcW w:w="733" w:type="dxa"/>
            <w:vAlign w:val="center"/>
          </w:tcPr>
          <w:p w14:paraId="451184D1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 (46.2)</w:t>
            </w:r>
          </w:p>
        </w:tc>
        <w:tc>
          <w:tcPr>
            <w:tcW w:w="1127" w:type="dxa"/>
            <w:vAlign w:val="center"/>
          </w:tcPr>
          <w:p w14:paraId="4C211A4B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 (20.6)</w:t>
            </w:r>
          </w:p>
        </w:tc>
        <w:tc>
          <w:tcPr>
            <w:tcW w:w="683" w:type="dxa"/>
            <w:vAlign w:val="center"/>
          </w:tcPr>
          <w:p w14:paraId="2CFA9D51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8" w:type="dxa"/>
            <w:vAlign w:val="center"/>
          </w:tcPr>
          <w:p w14:paraId="2571FFBF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3.72 (.97)</w:t>
            </w:r>
          </w:p>
        </w:tc>
      </w:tr>
      <w:tr w:rsidR="00243342" w14:paraId="715BE958" w14:textId="77777777" w:rsidTr="005743AB">
        <w:tc>
          <w:tcPr>
            <w:tcW w:w="3200" w:type="dxa"/>
            <w:vAlign w:val="center"/>
          </w:tcPr>
          <w:p w14:paraId="71C9AFC6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AI-based tools can assist patients with psychological disorders through automated emotional support, online cognitive-behavioral therapy, or monitoring changes in behavior</w:t>
            </w:r>
          </w:p>
        </w:tc>
        <w:tc>
          <w:tcPr>
            <w:tcW w:w="1117" w:type="dxa"/>
            <w:vAlign w:val="center"/>
          </w:tcPr>
          <w:p w14:paraId="61693949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 (47.2)</w:t>
            </w:r>
          </w:p>
        </w:tc>
        <w:tc>
          <w:tcPr>
            <w:tcW w:w="724" w:type="dxa"/>
            <w:vAlign w:val="center"/>
          </w:tcPr>
          <w:p w14:paraId="1CC79730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 (32.7)</w:t>
            </w:r>
          </w:p>
        </w:tc>
        <w:tc>
          <w:tcPr>
            <w:tcW w:w="1040" w:type="dxa"/>
            <w:vAlign w:val="center"/>
          </w:tcPr>
          <w:p w14:paraId="2FFFD4F8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 (13.1)</w:t>
            </w:r>
          </w:p>
        </w:tc>
        <w:tc>
          <w:tcPr>
            <w:tcW w:w="733" w:type="dxa"/>
            <w:vAlign w:val="center"/>
          </w:tcPr>
          <w:p w14:paraId="049A0158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 (5.0)</w:t>
            </w:r>
          </w:p>
        </w:tc>
        <w:tc>
          <w:tcPr>
            <w:tcW w:w="1127" w:type="dxa"/>
            <w:vAlign w:val="center"/>
          </w:tcPr>
          <w:p w14:paraId="233238E1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(2.0)</w:t>
            </w:r>
          </w:p>
        </w:tc>
        <w:tc>
          <w:tcPr>
            <w:tcW w:w="683" w:type="dxa"/>
            <w:vAlign w:val="center"/>
          </w:tcPr>
          <w:p w14:paraId="58BCD426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8" w:type="dxa"/>
            <w:vAlign w:val="center"/>
          </w:tcPr>
          <w:p w14:paraId="5F23896C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1.82 (.98)</w:t>
            </w:r>
          </w:p>
        </w:tc>
      </w:tr>
      <w:tr w:rsidR="00243342" w14:paraId="3F656335" w14:textId="77777777" w:rsidTr="005743AB">
        <w:tc>
          <w:tcPr>
            <w:tcW w:w="3200" w:type="dxa"/>
            <w:vAlign w:val="center"/>
          </w:tcPr>
          <w:p w14:paraId="6E13D17F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 can suggest personalized treatment plans, diets, or exercise programs based on the patient’s individual condition</w:t>
            </w:r>
          </w:p>
        </w:tc>
        <w:tc>
          <w:tcPr>
            <w:tcW w:w="1117" w:type="dxa"/>
            <w:vAlign w:val="center"/>
          </w:tcPr>
          <w:p w14:paraId="0958F126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 (19.6)</w:t>
            </w:r>
          </w:p>
        </w:tc>
        <w:tc>
          <w:tcPr>
            <w:tcW w:w="724" w:type="dxa"/>
            <w:vAlign w:val="center"/>
          </w:tcPr>
          <w:p w14:paraId="3427E398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 (36.2)</w:t>
            </w:r>
          </w:p>
        </w:tc>
        <w:tc>
          <w:tcPr>
            <w:tcW w:w="1040" w:type="dxa"/>
            <w:vAlign w:val="center"/>
          </w:tcPr>
          <w:p w14:paraId="79531F2C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 (23.6)</w:t>
            </w:r>
          </w:p>
        </w:tc>
        <w:tc>
          <w:tcPr>
            <w:tcW w:w="733" w:type="dxa"/>
            <w:vAlign w:val="center"/>
          </w:tcPr>
          <w:p w14:paraId="04DFDCD7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 (17.1)</w:t>
            </w:r>
          </w:p>
        </w:tc>
        <w:tc>
          <w:tcPr>
            <w:tcW w:w="1127" w:type="dxa"/>
            <w:vAlign w:val="center"/>
          </w:tcPr>
          <w:p w14:paraId="1B27CF57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(3.5)</w:t>
            </w:r>
          </w:p>
        </w:tc>
        <w:tc>
          <w:tcPr>
            <w:tcW w:w="683" w:type="dxa"/>
            <w:vAlign w:val="center"/>
          </w:tcPr>
          <w:p w14:paraId="614A0F06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vAlign w:val="center"/>
          </w:tcPr>
          <w:p w14:paraId="712F51E3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 (1.09)</w:t>
            </w:r>
          </w:p>
        </w:tc>
      </w:tr>
      <w:tr w:rsidR="00243342" w14:paraId="3BC20104" w14:textId="77777777" w:rsidTr="005743AB">
        <w:tc>
          <w:tcPr>
            <w:tcW w:w="3200" w:type="dxa"/>
            <w:vAlign w:val="center"/>
          </w:tcPr>
          <w:p w14:paraId="2F9BB7E7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 can streamline and automate administrative tasks such as managing electronic health records, scheduling appointments, and processing invoices</w:t>
            </w:r>
          </w:p>
        </w:tc>
        <w:tc>
          <w:tcPr>
            <w:tcW w:w="1117" w:type="dxa"/>
            <w:vAlign w:val="center"/>
          </w:tcPr>
          <w:p w14:paraId="03EAF5FC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 (.0)</w:t>
            </w:r>
          </w:p>
        </w:tc>
        <w:tc>
          <w:tcPr>
            <w:tcW w:w="724" w:type="dxa"/>
            <w:vAlign w:val="center"/>
          </w:tcPr>
          <w:p w14:paraId="67EB6896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 (3.0)</w:t>
            </w:r>
          </w:p>
        </w:tc>
        <w:tc>
          <w:tcPr>
            <w:tcW w:w="1040" w:type="dxa"/>
            <w:vAlign w:val="center"/>
          </w:tcPr>
          <w:p w14:paraId="4D182A7E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 (9.0)</w:t>
            </w:r>
          </w:p>
        </w:tc>
        <w:tc>
          <w:tcPr>
            <w:tcW w:w="733" w:type="dxa"/>
            <w:vAlign w:val="center"/>
          </w:tcPr>
          <w:p w14:paraId="3323021C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 (46.7)</w:t>
            </w:r>
          </w:p>
        </w:tc>
        <w:tc>
          <w:tcPr>
            <w:tcW w:w="1127" w:type="dxa"/>
            <w:vAlign w:val="center"/>
          </w:tcPr>
          <w:p w14:paraId="6114B9F2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 (41.2)</w:t>
            </w:r>
          </w:p>
        </w:tc>
        <w:tc>
          <w:tcPr>
            <w:tcW w:w="683" w:type="dxa"/>
            <w:vAlign w:val="center"/>
          </w:tcPr>
          <w:p w14:paraId="732E6795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8" w:type="dxa"/>
            <w:vAlign w:val="center"/>
          </w:tcPr>
          <w:p w14:paraId="5648A3D5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4.26 (.75)</w:t>
            </w:r>
          </w:p>
        </w:tc>
      </w:tr>
      <w:tr w:rsidR="00243342" w14:paraId="610823B7" w14:textId="77777777" w:rsidTr="005743AB">
        <w:tc>
          <w:tcPr>
            <w:tcW w:w="3200" w:type="dxa"/>
            <w:vAlign w:val="center"/>
          </w:tcPr>
          <w:p w14:paraId="1CADB9BE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 can help manage hospital resources by predicting workload peaks and optimizing the allocation of medical and nursing staff</w:t>
            </w:r>
          </w:p>
        </w:tc>
        <w:tc>
          <w:tcPr>
            <w:tcW w:w="1117" w:type="dxa"/>
            <w:vAlign w:val="center"/>
          </w:tcPr>
          <w:p w14:paraId="4FBB65D8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(1.5)</w:t>
            </w:r>
          </w:p>
        </w:tc>
        <w:tc>
          <w:tcPr>
            <w:tcW w:w="724" w:type="dxa"/>
            <w:vAlign w:val="center"/>
          </w:tcPr>
          <w:p w14:paraId="633EF5AB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 (13.1)</w:t>
            </w:r>
          </w:p>
        </w:tc>
        <w:tc>
          <w:tcPr>
            <w:tcW w:w="1040" w:type="dxa"/>
            <w:vAlign w:val="center"/>
          </w:tcPr>
          <w:p w14:paraId="01639809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 (20.1)</w:t>
            </w:r>
          </w:p>
        </w:tc>
        <w:tc>
          <w:tcPr>
            <w:tcW w:w="733" w:type="dxa"/>
            <w:vAlign w:val="center"/>
          </w:tcPr>
          <w:p w14:paraId="64CC4EDC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 (42.2)</w:t>
            </w:r>
          </w:p>
        </w:tc>
        <w:tc>
          <w:tcPr>
            <w:tcW w:w="1127" w:type="dxa"/>
            <w:vAlign w:val="center"/>
          </w:tcPr>
          <w:p w14:paraId="0CFA339B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 (23.1)</w:t>
            </w:r>
          </w:p>
        </w:tc>
        <w:tc>
          <w:tcPr>
            <w:tcW w:w="683" w:type="dxa"/>
            <w:vAlign w:val="center"/>
          </w:tcPr>
          <w:p w14:paraId="759A6C8A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8" w:type="dxa"/>
            <w:vAlign w:val="center"/>
          </w:tcPr>
          <w:p w14:paraId="4042E2EB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3.72 (1.01)</w:t>
            </w:r>
          </w:p>
        </w:tc>
      </w:tr>
      <w:tr w:rsidR="00243342" w14:paraId="13E749A8" w14:textId="77777777" w:rsidTr="005743AB">
        <w:tc>
          <w:tcPr>
            <w:tcW w:w="3200" w:type="dxa"/>
            <w:vAlign w:val="center"/>
          </w:tcPr>
          <w:p w14:paraId="104F153A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 can process and analyze vast amounts of health data to discover new correlations between risk factors and diseases, accelerating medical research</w:t>
            </w:r>
          </w:p>
        </w:tc>
        <w:tc>
          <w:tcPr>
            <w:tcW w:w="1117" w:type="dxa"/>
            <w:vAlign w:val="center"/>
          </w:tcPr>
          <w:p w14:paraId="44EDFB35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(1.0)</w:t>
            </w:r>
          </w:p>
        </w:tc>
        <w:tc>
          <w:tcPr>
            <w:tcW w:w="724" w:type="dxa"/>
            <w:vAlign w:val="center"/>
          </w:tcPr>
          <w:p w14:paraId="78CAEF60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 (8.0)</w:t>
            </w:r>
          </w:p>
        </w:tc>
        <w:tc>
          <w:tcPr>
            <w:tcW w:w="1040" w:type="dxa"/>
            <w:vAlign w:val="center"/>
          </w:tcPr>
          <w:p w14:paraId="1C4E2EE3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 (12.6)</w:t>
            </w:r>
          </w:p>
        </w:tc>
        <w:tc>
          <w:tcPr>
            <w:tcW w:w="733" w:type="dxa"/>
            <w:vAlign w:val="center"/>
          </w:tcPr>
          <w:p w14:paraId="7E697B6D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 (41.7)</w:t>
            </w:r>
          </w:p>
        </w:tc>
        <w:tc>
          <w:tcPr>
            <w:tcW w:w="1127" w:type="dxa"/>
            <w:vAlign w:val="center"/>
          </w:tcPr>
          <w:p w14:paraId="2FB0F0F2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 (36.7)</w:t>
            </w:r>
          </w:p>
        </w:tc>
        <w:tc>
          <w:tcPr>
            <w:tcW w:w="683" w:type="dxa"/>
            <w:vAlign w:val="center"/>
          </w:tcPr>
          <w:p w14:paraId="32184091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8" w:type="dxa"/>
            <w:vAlign w:val="center"/>
          </w:tcPr>
          <w:p w14:paraId="6771CD8B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4.05 (.95)</w:t>
            </w:r>
          </w:p>
        </w:tc>
      </w:tr>
      <w:tr w:rsidR="00243342" w14:paraId="3491F138" w14:textId="77777777" w:rsidTr="005743AB">
        <w:tc>
          <w:tcPr>
            <w:tcW w:w="3200" w:type="dxa"/>
            <w:tcBorders>
              <w:bottom w:val="single" w:sz="4" w:space="0" w:color="000000"/>
            </w:tcBorders>
            <w:vAlign w:val="center"/>
          </w:tcPr>
          <w:p w14:paraId="2B0164AF" w14:textId="77777777" w:rsidR="00243342" w:rsidRDefault="00243342" w:rsidP="005743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9" w:hanging="28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 can be used to create personalized training platforms for healthcare professionals, tracking progress and recommending educational content based on individual learning needs</w:t>
            </w:r>
          </w:p>
        </w:tc>
        <w:tc>
          <w:tcPr>
            <w:tcW w:w="1117" w:type="dxa"/>
            <w:tcBorders>
              <w:bottom w:val="single" w:sz="4" w:space="0" w:color="000000"/>
            </w:tcBorders>
            <w:vAlign w:val="center"/>
          </w:tcPr>
          <w:p w14:paraId="6F805F52" w14:textId="77777777" w:rsidR="00243342" w:rsidRDefault="00243342" w:rsidP="005743A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(.5)</w:t>
            </w:r>
          </w:p>
        </w:tc>
        <w:tc>
          <w:tcPr>
            <w:tcW w:w="724" w:type="dxa"/>
            <w:tcBorders>
              <w:bottom w:val="single" w:sz="4" w:space="0" w:color="000000"/>
            </w:tcBorders>
            <w:vAlign w:val="center"/>
          </w:tcPr>
          <w:p w14:paraId="2AD5AD26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 (14.6)</w:t>
            </w:r>
          </w:p>
        </w:tc>
        <w:tc>
          <w:tcPr>
            <w:tcW w:w="1040" w:type="dxa"/>
            <w:tcBorders>
              <w:bottom w:val="single" w:sz="4" w:space="0" w:color="000000"/>
            </w:tcBorders>
            <w:vAlign w:val="center"/>
          </w:tcPr>
          <w:p w14:paraId="6260550F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 (26.1)</w:t>
            </w:r>
          </w:p>
        </w:tc>
        <w:tc>
          <w:tcPr>
            <w:tcW w:w="733" w:type="dxa"/>
            <w:tcBorders>
              <w:bottom w:val="single" w:sz="4" w:space="0" w:color="000000"/>
            </w:tcBorders>
            <w:vAlign w:val="center"/>
          </w:tcPr>
          <w:p w14:paraId="24ABFA84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103 (44.2)</w:t>
            </w:r>
          </w:p>
        </w:tc>
        <w:tc>
          <w:tcPr>
            <w:tcW w:w="1127" w:type="dxa"/>
            <w:tcBorders>
              <w:bottom w:val="single" w:sz="4" w:space="0" w:color="000000"/>
            </w:tcBorders>
            <w:vAlign w:val="center"/>
          </w:tcPr>
          <w:p w14:paraId="74B65A2A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 (14.6)</w:t>
            </w:r>
          </w:p>
        </w:tc>
        <w:tc>
          <w:tcPr>
            <w:tcW w:w="683" w:type="dxa"/>
            <w:tcBorders>
              <w:bottom w:val="single" w:sz="4" w:space="0" w:color="000000"/>
            </w:tcBorders>
            <w:vAlign w:val="center"/>
          </w:tcPr>
          <w:p w14:paraId="12ADF0A7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8" w:type="dxa"/>
            <w:tcBorders>
              <w:bottom w:val="single" w:sz="4" w:space="0" w:color="000000"/>
            </w:tcBorders>
            <w:vAlign w:val="center"/>
          </w:tcPr>
          <w:p w14:paraId="35F5DFA8" w14:textId="77777777" w:rsidR="00243342" w:rsidRDefault="00243342" w:rsidP="005743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3.58 (.93)</w:t>
            </w:r>
          </w:p>
        </w:tc>
      </w:tr>
    </w:tbl>
    <w:p w14:paraId="5DDFCC3B" w14:textId="77777777" w:rsidR="00243342" w:rsidRDefault="00243342" w:rsidP="00243342">
      <w:pPr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Note. Items 1–8 belong to the Clinical care subscale; items 9–10 to the Personal support subscale; and items 11–14 to the System management subscale.</w:t>
      </w:r>
    </w:p>
    <w:p w14:paraId="1C4C9D70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F90A15"/>
    <w:multiLevelType w:val="multilevel"/>
    <w:tmpl w:val="F2AAFD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87396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342"/>
    <w:rsid w:val="00023892"/>
    <w:rsid w:val="00066677"/>
    <w:rsid w:val="00243342"/>
    <w:rsid w:val="003A4E89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E2A4A"/>
  <w15:chartTrackingRefBased/>
  <w15:docId w15:val="{4A4627AB-8AED-4850-A2CC-BB2BC5BFA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342"/>
    <w:pPr>
      <w:spacing w:after="0" w:line="240" w:lineRule="auto"/>
    </w:pPr>
    <w:rPr>
      <w:rFonts w:ascii="Calibri" w:eastAsia="Calibri" w:hAnsi="Calibri" w:cs="Calibri"/>
      <w:kern w:val="0"/>
      <w:lang w:val="en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33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33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33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33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33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334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334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334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334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33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33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33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33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33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33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33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33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33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33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33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33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33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33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33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33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33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33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33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33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511</Words>
  <Characters>2916</Characters>
  <Application>Microsoft Office Word</Application>
  <DocSecurity>0</DocSecurity>
  <Lines>24</Lines>
  <Paragraphs>6</Paragraphs>
  <ScaleCrop>false</ScaleCrop>
  <Company/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2026-04-22T16:39:00Z</dcterms:created>
  <dcterms:modified xsi:type="dcterms:W3CDTF">2026-04-22T16:41:00Z</dcterms:modified>
</cp:coreProperties>
</file>