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7D488" w14:textId="77777777" w:rsidR="002C69D6" w:rsidRDefault="002C69D6" w:rsidP="002C69D6">
      <w:pPr>
        <w:pStyle w:val="BodyText"/>
        <w:rPr>
          <w:color w:val="auto"/>
          <w:szCs w:val="22"/>
        </w:rPr>
      </w:pPr>
      <w:r>
        <w:rPr>
          <w:noProof/>
          <w:color w:val="auto"/>
          <w:szCs w:val="22"/>
        </w:rPr>
        <w:drawing>
          <wp:inline distT="0" distB="0" distL="0" distR="0" wp14:anchorId="2EC159BF" wp14:editId="4A9CBB0B">
            <wp:extent cx="5222240" cy="2032000"/>
            <wp:effectExtent l="0" t="0" r="0" b="0"/>
            <wp:docPr id="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2240" cy="2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81301B" w14:textId="77777777" w:rsidR="002C69D6" w:rsidRDefault="002C69D6" w:rsidP="002C69D6">
      <w:pPr>
        <w:spacing w:line="240" w:lineRule="auto"/>
        <w:jc w:val="both"/>
        <w:rPr>
          <w:snapToGrid w:val="0"/>
          <w:shd w:val="clear" w:color="auto" w:fill="FFFFFF"/>
          <w:lang w:eastAsia="en-US"/>
        </w:rPr>
      </w:pPr>
      <w:bookmarkStart w:id="0" w:name="_Hlk189168994"/>
      <w:r>
        <w:t>Supplementary Fig. S1</w:t>
      </w:r>
      <w:r>
        <w:rPr>
          <w:sz w:val="24"/>
          <w:szCs w:val="24"/>
        </w:rPr>
        <w:t xml:space="preserve"> </w:t>
      </w:r>
      <w:bookmarkEnd w:id="0"/>
      <w:r>
        <w:rPr>
          <w:snapToGrid w:val="0"/>
          <w:shd w:val="clear" w:color="auto" w:fill="FFFFFF"/>
          <w:lang w:eastAsia="en-US"/>
        </w:rPr>
        <w:t>circNFATC3 (hsa_circ_0039930) targets m6A-regulated genes as predicted by miRanda. Circles represent circRNAs, squares represent coding genes, and green lines indicate the predicted binding relationships between them.</w:t>
      </w:r>
    </w:p>
    <w:p w14:paraId="271F7FAF" w14:textId="77777777" w:rsidR="002C69D6" w:rsidRDefault="002C69D6" w:rsidP="002C69D6">
      <w:pPr>
        <w:pStyle w:val="BodyText"/>
        <w:rPr>
          <w:color w:val="auto"/>
          <w:szCs w:val="22"/>
          <w:lang w:eastAsia="zh-CN"/>
        </w:rPr>
      </w:pPr>
    </w:p>
    <w:p w14:paraId="7E722A6C" w14:textId="77777777" w:rsidR="002C69D6" w:rsidRDefault="002C69D6" w:rsidP="002C69D6">
      <w:pPr>
        <w:pStyle w:val="BodyText"/>
        <w:jc w:val="center"/>
        <w:rPr>
          <w:color w:val="auto"/>
          <w:szCs w:val="22"/>
          <w:lang w:eastAsia="zh-CN"/>
        </w:rPr>
      </w:pPr>
      <w:r>
        <w:rPr>
          <w:noProof/>
          <w:color w:val="auto"/>
          <w:szCs w:val="22"/>
          <w:lang w:eastAsia="zh-CN"/>
        </w:rPr>
        <w:lastRenderedPageBreak/>
        <w:drawing>
          <wp:inline distT="0" distB="0" distL="0" distR="0" wp14:anchorId="79C079D9" wp14:editId="680F6667">
            <wp:extent cx="4518025" cy="5249545"/>
            <wp:effectExtent l="0" t="0" r="0" b="0"/>
            <wp:docPr id="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8025" cy="524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D266DE" w14:textId="77777777" w:rsidR="002C69D6" w:rsidRDefault="002C69D6" w:rsidP="002C69D6">
      <w:pPr>
        <w:spacing w:line="240" w:lineRule="auto"/>
        <w:jc w:val="both"/>
      </w:pPr>
      <w:r>
        <w:t>Supplementary Fig. S</w:t>
      </w:r>
      <w:r>
        <w:rPr>
          <w:rFonts w:hint="eastAsia"/>
        </w:rPr>
        <w:t xml:space="preserve">2 </w:t>
      </w:r>
      <w:r>
        <w:t>Expression of FTO in gastric cancer and its relationship with clinical features</w:t>
      </w:r>
      <w:r>
        <w:rPr>
          <w:rFonts w:hint="eastAsia"/>
        </w:rPr>
        <w:t xml:space="preserve">. </w:t>
      </w:r>
      <w:r>
        <w:t>Fig. S</w:t>
      </w:r>
      <w:r>
        <w:rPr>
          <w:rFonts w:hint="eastAsia"/>
        </w:rPr>
        <w:t xml:space="preserve">2A </w:t>
      </w:r>
      <w:r>
        <w:t>Expression levels of FTO in cancer tissues and adjacent non-cancerous tissues</w:t>
      </w:r>
      <w:r>
        <w:rPr>
          <w:rFonts w:hint="eastAsia"/>
        </w:rPr>
        <w:t xml:space="preserve">. </w:t>
      </w:r>
      <w:r>
        <w:t>FIG. S2B</w:t>
      </w:r>
      <w:r>
        <w:rPr>
          <w:rFonts w:hint="eastAsia"/>
        </w:rPr>
        <w:t xml:space="preserve"> </w:t>
      </w:r>
      <w:r>
        <w:t>Expression of FTO in different tumor stages</w:t>
      </w:r>
      <w:r>
        <w:rPr>
          <w:rFonts w:hint="eastAsia"/>
        </w:rPr>
        <w:t xml:space="preserve">. </w:t>
      </w:r>
      <w:r>
        <w:t>FIG</w:t>
      </w:r>
      <w:r>
        <w:rPr>
          <w:rFonts w:hint="eastAsia"/>
        </w:rPr>
        <w:t xml:space="preserve">. </w:t>
      </w:r>
      <w:r>
        <w:t>S2C Expression of FTO in different genders</w:t>
      </w:r>
      <w:r>
        <w:rPr>
          <w:rFonts w:hint="eastAsia"/>
        </w:rPr>
        <w:t xml:space="preserve">. </w:t>
      </w:r>
      <w:r>
        <w:t>FIG</w:t>
      </w:r>
      <w:r>
        <w:rPr>
          <w:rFonts w:hint="eastAsia"/>
        </w:rPr>
        <w:t>.</w:t>
      </w:r>
      <w:r>
        <w:t>S2D Expression of FTO among different age groups</w:t>
      </w:r>
      <w:r>
        <w:rPr>
          <w:rFonts w:hint="eastAsia"/>
        </w:rPr>
        <w:t xml:space="preserve">. </w:t>
      </w:r>
      <w:r>
        <w:t>FIG</w:t>
      </w:r>
      <w:r>
        <w:rPr>
          <w:rFonts w:hint="eastAsia"/>
        </w:rPr>
        <w:t>.</w:t>
      </w:r>
      <w:r>
        <w:t xml:space="preserve"> S2E Expression of FTO across different pathological stages</w:t>
      </w:r>
      <w:r>
        <w:rPr>
          <w:rFonts w:hint="eastAsia"/>
        </w:rPr>
        <w:t xml:space="preserve">. </w:t>
      </w:r>
      <w:r>
        <w:t>FIG</w:t>
      </w:r>
      <w:r>
        <w:rPr>
          <w:rFonts w:hint="eastAsia"/>
        </w:rPr>
        <w:t xml:space="preserve">. </w:t>
      </w:r>
      <w:r>
        <w:t>S2F Expression of FTO in relation to tumor size (T), lymph node metastasis (N), and whether the tumor has metastasized (M)</w:t>
      </w:r>
      <w:r>
        <w:rPr>
          <w:rFonts w:hint="eastAsia"/>
        </w:rPr>
        <w:t xml:space="preserve">. </w:t>
      </w:r>
      <w:r>
        <w:t>FIG</w:t>
      </w:r>
      <w:r>
        <w:rPr>
          <w:rFonts w:hint="eastAsia"/>
        </w:rPr>
        <w:t xml:space="preserve">. </w:t>
      </w:r>
      <w:r>
        <w:t>S2G Overall survival (OS), disease-free survival (DFS), and disease-specific survival (DSS) in high and low expression groups of FTO</w:t>
      </w:r>
      <w:r>
        <w:rPr>
          <w:rFonts w:hint="eastAsia"/>
        </w:rPr>
        <w:t xml:space="preserve">. </w:t>
      </w:r>
      <w:r>
        <w:t>FIG</w:t>
      </w:r>
      <w:r>
        <w:rPr>
          <w:rFonts w:hint="eastAsia"/>
        </w:rPr>
        <w:t>.</w:t>
      </w:r>
      <w:r>
        <w:t>S2H Comparison of OS and DFS between the 80% and 20% groups of FTO gene expression</w:t>
      </w:r>
      <w:r>
        <w:rPr>
          <w:rFonts w:hint="eastAsia"/>
        </w:rPr>
        <w:t>.</w:t>
      </w:r>
    </w:p>
    <w:p w14:paraId="728730E9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9D6"/>
    <w:rsid w:val="00195413"/>
    <w:rsid w:val="002C69D6"/>
    <w:rsid w:val="003D0186"/>
    <w:rsid w:val="007278E4"/>
    <w:rsid w:val="00A3738C"/>
    <w:rsid w:val="00BC6C35"/>
    <w:rsid w:val="00CB270D"/>
    <w:rsid w:val="00CF7583"/>
    <w:rsid w:val="00DB17AA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3DD9C7"/>
  <w15:chartTrackingRefBased/>
  <w15:docId w15:val="{44ACBCA9-7886-4101-9257-5F3F40528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69D6"/>
    <w:pPr>
      <w:spacing w:line="259" w:lineRule="auto"/>
    </w:pPr>
    <w:rPr>
      <w:rFonts w:ascii="Times New Roman" w:eastAsia="SimSun" w:hAnsi="Times New Roman" w:cs="Times New Roman"/>
      <w:kern w:val="0"/>
      <w:sz w:val="22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69D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69D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69D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69D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69D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69D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69D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69D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69D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69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69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69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69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69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69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69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69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69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69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C69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69D6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C69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69D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C69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69D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C69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69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69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69D6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rsid w:val="002C69D6"/>
    <w:pPr>
      <w:kinsoku w:val="0"/>
      <w:autoSpaceDE w:val="0"/>
      <w:autoSpaceDN w:val="0"/>
      <w:spacing w:before="120" w:after="120" w:line="240" w:lineRule="auto"/>
      <w:jc w:val="both"/>
      <w:textAlignment w:val="baseline"/>
    </w:pPr>
    <w:rPr>
      <w:snapToGrid w:val="0"/>
      <w:color w:val="0D0D0D"/>
      <w:szCs w:val="21"/>
      <w:shd w:val="clear" w:color="auto" w:fill="FFFFFF"/>
      <w:lang w:eastAsia="en-US"/>
    </w:rPr>
  </w:style>
  <w:style w:type="character" w:customStyle="1" w:styleId="BodyTextChar">
    <w:name w:val="Body Text Char"/>
    <w:basedOn w:val="DefaultParagraphFont"/>
    <w:link w:val="BodyText"/>
    <w:rsid w:val="002C69D6"/>
    <w:rPr>
      <w:rFonts w:ascii="Times New Roman" w:eastAsia="SimSun" w:hAnsi="Times New Roman" w:cs="Times New Roman"/>
      <w:snapToGrid w:val="0"/>
      <w:color w:val="0D0D0D"/>
      <w:kern w:val="0"/>
      <w:sz w:val="22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145</Words>
  <Characters>870</Characters>
  <Application>Microsoft Office Word</Application>
  <DocSecurity>0</DocSecurity>
  <Lines>15</Lines>
  <Paragraphs>5</Paragraphs>
  <ScaleCrop>false</ScaleCrop>
  <Company>Springer Nature</Company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2026-04-02T16:39:00Z</dcterms:created>
  <dcterms:modified xsi:type="dcterms:W3CDTF">2026-04-02T16:39:00Z</dcterms:modified>
</cp:coreProperties>
</file>