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</w:pPr>
      <w:r>
        <w:rPr>
          <w:b/>
          <w:bCs/>
        </w:rPr>
        <w:t xml:space="preserve">List of Abbreviations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AG</w:t>
      </w:r>
      <w:r>
        <w:rPr>
          <w:rFonts w:ascii="Arial" w:cs="Arial" w:eastAsia="Arial" w:hAnsi="Arial"/>
          <w:sz w:val="22"/>
          <w:szCs w:val="22"/>
        </w:rPr>
        <w:t xml:space="preserve"> – Actively Growing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ATAC-seq</w:t>
      </w:r>
      <w:r>
        <w:rPr>
          <w:rFonts w:ascii="Arial" w:cs="Arial" w:eastAsia="Arial" w:hAnsi="Arial"/>
          <w:sz w:val="22"/>
          <w:szCs w:val="22"/>
        </w:rPr>
        <w:t xml:space="preserve"> – Assay for Transposase-Accessible Chromatin using sequencing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BAM/BAI</w:t>
      </w:r>
      <w:r>
        <w:rPr>
          <w:rFonts w:ascii="Arial" w:cs="Arial" w:eastAsia="Arial" w:hAnsi="Arial"/>
          <w:sz w:val="22"/>
          <w:szCs w:val="22"/>
        </w:rPr>
        <w:t xml:space="preserve"> – Binary Alignment Map / BAM Index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BMP</w:t>
      </w:r>
      <w:r>
        <w:rPr>
          <w:rFonts w:ascii="Arial" w:cs="Arial" w:eastAsia="Arial" w:hAnsi="Arial"/>
          <w:sz w:val="22"/>
          <w:szCs w:val="22"/>
        </w:rPr>
        <w:t xml:space="preserve"> – Bone Morphogenetic Protein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BP</w:t>
      </w:r>
      <w:r>
        <w:rPr>
          <w:rFonts w:ascii="Arial" w:cs="Arial" w:eastAsia="Arial" w:hAnsi="Arial"/>
          <w:sz w:val="22"/>
          <w:szCs w:val="22"/>
        </w:rPr>
        <w:t xml:space="preserve"> – Biological Process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CC</w:t>
      </w:r>
      <w:r>
        <w:rPr>
          <w:rFonts w:ascii="Arial" w:cs="Arial" w:eastAsia="Arial" w:hAnsi="Arial"/>
          <w:sz w:val="22"/>
          <w:szCs w:val="22"/>
        </w:rPr>
        <w:t xml:space="preserve"> – Cellular Component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CI</w:t>
      </w:r>
      <w:r>
        <w:rPr>
          <w:rFonts w:ascii="Arial" w:cs="Arial" w:eastAsia="Arial" w:hAnsi="Arial"/>
          <w:sz w:val="22"/>
          <w:szCs w:val="22"/>
        </w:rPr>
        <w:t xml:space="preserve"> – Confidence Interval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CP</w:t>
      </w:r>
      <w:r>
        <w:rPr>
          <w:rFonts w:ascii="Arial" w:cs="Arial" w:eastAsia="Arial" w:hAnsi="Arial"/>
          <w:sz w:val="22"/>
          <w:szCs w:val="22"/>
        </w:rPr>
        <w:t xml:space="preserve"> – Canonical Pathways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CV</w:t>
      </w:r>
      <w:r>
        <w:rPr>
          <w:rFonts w:ascii="Arial" w:cs="Arial" w:eastAsia="Arial" w:hAnsi="Arial"/>
          <w:sz w:val="22"/>
          <w:szCs w:val="22"/>
        </w:rPr>
        <w:t xml:space="preserve"> – Coefficient of Variation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DAPs</w:t>
      </w:r>
      <w:r>
        <w:rPr>
          <w:rFonts w:ascii="Arial" w:cs="Arial" w:eastAsia="Arial" w:hAnsi="Arial"/>
          <w:sz w:val="22"/>
          <w:szCs w:val="22"/>
        </w:rPr>
        <w:t xml:space="preserve"> – Differentially Accessible Peaks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DEGs</w:t>
      </w:r>
      <w:r>
        <w:rPr>
          <w:rFonts w:ascii="Arial" w:cs="Arial" w:eastAsia="Arial" w:hAnsi="Arial"/>
          <w:sz w:val="22"/>
          <w:szCs w:val="22"/>
        </w:rPr>
        <w:t xml:space="preserve"> – Differentially Expressed Genes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DMEM</w:t>
      </w:r>
      <w:r>
        <w:rPr>
          <w:rFonts w:ascii="Arial" w:cs="Arial" w:eastAsia="Arial" w:hAnsi="Arial"/>
          <w:sz w:val="22"/>
          <w:szCs w:val="22"/>
        </w:rPr>
        <w:t xml:space="preserve"> – Dulbecco's Modified Eagle Medium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ECM</w:t>
      </w:r>
      <w:r>
        <w:rPr>
          <w:rFonts w:ascii="Arial" w:cs="Arial" w:eastAsia="Arial" w:hAnsi="Arial"/>
          <w:sz w:val="22"/>
          <w:szCs w:val="22"/>
        </w:rPr>
        <w:t xml:space="preserve"> – Extracellular Matrix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ENCODE</w:t>
      </w:r>
      <w:r>
        <w:rPr>
          <w:rFonts w:ascii="Arial" w:cs="Arial" w:eastAsia="Arial" w:hAnsi="Arial"/>
          <w:sz w:val="22"/>
          <w:szCs w:val="22"/>
        </w:rPr>
        <w:t xml:space="preserve"> – Encyclopedia of DNA Elements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FACS</w:t>
      </w:r>
      <w:r>
        <w:rPr>
          <w:rFonts w:ascii="Arial" w:cs="Arial" w:eastAsia="Arial" w:hAnsi="Arial"/>
          <w:sz w:val="22"/>
          <w:szCs w:val="22"/>
        </w:rPr>
        <w:t xml:space="preserve"> – Fluorescence-Activated Cell Sorting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FDR</w:t>
      </w:r>
      <w:r>
        <w:rPr>
          <w:rFonts w:ascii="Arial" w:cs="Arial" w:eastAsia="Arial" w:hAnsi="Arial"/>
          <w:sz w:val="22"/>
          <w:szCs w:val="22"/>
        </w:rPr>
        <w:t xml:space="preserve"> – False Discovery Rate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FPP</w:t>
      </w:r>
      <w:r>
        <w:rPr>
          <w:rFonts w:ascii="Arial" w:cs="Arial" w:eastAsia="Arial" w:hAnsi="Arial"/>
          <w:sz w:val="22"/>
          <w:szCs w:val="22"/>
        </w:rPr>
        <w:t xml:space="preserve"> – Farnesyl Pyrophosphate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FRiP</w:t>
      </w:r>
      <w:r>
        <w:rPr>
          <w:rFonts w:ascii="Arial" w:cs="Arial" w:eastAsia="Arial" w:hAnsi="Arial"/>
          <w:sz w:val="22"/>
          <w:szCs w:val="22"/>
        </w:rPr>
        <w:t xml:space="preserve"> – Fraction of Reads in Peaks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GGPP</w:t>
      </w:r>
      <w:r>
        <w:rPr>
          <w:rFonts w:ascii="Arial" w:cs="Arial" w:eastAsia="Arial" w:hAnsi="Arial"/>
          <w:sz w:val="22"/>
          <w:szCs w:val="22"/>
        </w:rPr>
        <w:t xml:space="preserve"> – Geranylgeranyl Pyrophosphate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GO</w:t>
      </w:r>
      <w:r>
        <w:rPr>
          <w:rFonts w:ascii="Arial" w:cs="Arial" w:eastAsia="Arial" w:hAnsi="Arial"/>
          <w:sz w:val="22"/>
          <w:szCs w:val="22"/>
        </w:rPr>
        <w:t xml:space="preserve"> – Gene Ontology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GRO-seq</w:t>
      </w:r>
      <w:r>
        <w:rPr>
          <w:rFonts w:ascii="Arial" w:cs="Arial" w:eastAsia="Arial" w:hAnsi="Arial"/>
          <w:sz w:val="22"/>
          <w:szCs w:val="22"/>
        </w:rPr>
        <w:t xml:space="preserve"> – Global Run-On sequencing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GTPase</w:t>
      </w:r>
      <w:r>
        <w:rPr>
          <w:rFonts w:ascii="Arial" w:cs="Arial" w:eastAsia="Arial" w:hAnsi="Arial"/>
          <w:sz w:val="22"/>
          <w:szCs w:val="22"/>
        </w:rPr>
        <w:t xml:space="preserve"> – Guanosine Triphosphatase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IDR</w:t>
      </w:r>
      <w:r>
        <w:rPr>
          <w:rFonts w:ascii="Arial" w:cs="Arial" w:eastAsia="Arial" w:hAnsi="Arial"/>
          <w:sz w:val="22"/>
          <w:szCs w:val="22"/>
        </w:rPr>
        <w:t xml:space="preserve"> – Irreproducible Discovery Rate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IP</w:t>
      </w:r>
      <w:r>
        <w:rPr>
          <w:rFonts w:ascii="Arial" w:cs="Arial" w:eastAsia="Arial" w:hAnsi="Arial"/>
          <w:sz w:val="22"/>
          <w:szCs w:val="22"/>
        </w:rPr>
        <w:t xml:space="preserve"> – Invariant Peaks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IQR</w:t>
      </w:r>
      <w:r>
        <w:rPr>
          <w:rFonts w:ascii="Arial" w:cs="Arial" w:eastAsia="Arial" w:hAnsi="Arial"/>
          <w:sz w:val="22"/>
          <w:szCs w:val="22"/>
        </w:rPr>
        <w:t xml:space="preserve"> – Interquartile Range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LFC</w:t>
      </w:r>
      <w:r>
        <w:rPr>
          <w:rFonts w:ascii="Arial" w:cs="Arial" w:eastAsia="Arial" w:hAnsi="Arial"/>
          <w:sz w:val="22"/>
          <w:szCs w:val="22"/>
        </w:rPr>
        <w:t xml:space="preserve"> – Log₂ Fold Change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LQR</w:t>
      </w:r>
      <w:r>
        <w:rPr>
          <w:rFonts w:ascii="Arial" w:cs="Arial" w:eastAsia="Arial" w:hAnsi="Arial"/>
          <w:sz w:val="22"/>
          <w:szCs w:val="22"/>
        </w:rPr>
        <w:t xml:space="preserve"> – Low Quality Reads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MAP</w:t>
      </w:r>
      <w:r>
        <w:rPr>
          <w:rFonts w:ascii="Arial" w:cs="Arial" w:eastAsia="Arial" w:hAnsi="Arial"/>
          <w:sz w:val="22"/>
          <w:szCs w:val="22"/>
        </w:rPr>
        <w:t xml:space="preserve"> – Maximum A Posteriori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MAPQ</w:t>
      </w:r>
      <w:r>
        <w:rPr>
          <w:rFonts w:ascii="Arial" w:cs="Arial" w:eastAsia="Arial" w:hAnsi="Arial"/>
          <w:sz w:val="22"/>
          <w:szCs w:val="22"/>
        </w:rPr>
        <w:t xml:space="preserve"> – Mapping Quality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MF</w:t>
      </w:r>
      <w:r>
        <w:rPr>
          <w:rFonts w:ascii="Arial" w:cs="Arial" w:eastAsia="Arial" w:hAnsi="Arial"/>
          <w:sz w:val="22"/>
          <w:szCs w:val="22"/>
        </w:rPr>
        <w:t xml:space="preserve"> – Molecular Function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MSigDB</w:t>
      </w:r>
      <w:r>
        <w:rPr>
          <w:rFonts w:ascii="Arial" w:cs="Arial" w:eastAsia="Arial" w:hAnsi="Arial"/>
          <w:sz w:val="22"/>
          <w:szCs w:val="22"/>
        </w:rPr>
        <w:t xml:space="preserve"> – Molecular Signatures Database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NES</w:t>
      </w:r>
      <w:r>
        <w:rPr>
          <w:rFonts w:ascii="Arial" w:cs="Arial" w:eastAsia="Arial" w:hAnsi="Arial"/>
          <w:sz w:val="22"/>
          <w:szCs w:val="22"/>
        </w:rPr>
        <w:t xml:space="preserve"> – Normalized Enrichment Score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NFR</w:t>
      </w:r>
      <w:r>
        <w:rPr>
          <w:rFonts w:ascii="Arial" w:cs="Arial" w:eastAsia="Arial" w:hAnsi="Arial"/>
          <w:sz w:val="22"/>
          <w:szCs w:val="22"/>
        </w:rPr>
        <w:t xml:space="preserve"> – Nucleosome-Free Region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NRF</w:t>
      </w:r>
      <w:r>
        <w:rPr>
          <w:rFonts w:ascii="Arial" w:cs="Arial" w:eastAsia="Arial" w:hAnsi="Arial"/>
          <w:sz w:val="22"/>
          <w:szCs w:val="22"/>
        </w:rPr>
        <w:t xml:space="preserve"> – Non-Redundant Fraction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OR</w:t>
      </w:r>
      <w:r>
        <w:rPr>
          <w:rFonts w:ascii="Arial" w:cs="Arial" w:eastAsia="Arial" w:hAnsi="Arial"/>
          <w:sz w:val="22"/>
          <w:szCs w:val="22"/>
        </w:rPr>
        <w:t xml:space="preserve"> – Odds Ratio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PBC1</w:t>
      </w:r>
      <w:r>
        <w:rPr>
          <w:rFonts w:ascii="Arial" w:cs="Arial" w:eastAsia="Arial" w:hAnsi="Arial"/>
          <w:sz w:val="22"/>
          <w:szCs w:val="22"/>
        </w:rPr>
        <w:t xml:space="preserve"> – PCR Bottlenecking Coefficient 1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PBS</w:t>
      </w:r>
      <w:r>
        <w:rPr>
          <w:rFonts w:ascii="Arial" w:cs="Arial" w:eastAsia="Arial" w:hAnsi="Arial"/>
          <w:sz w:val="22"/>
          <w:szCs w:val="22"/>
        </w:rPr>
        <w:t xml:space="preserve"> – Phosphate-Buffered Saline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PCA</w:t>
      </w:r>
      <w:r>
        <w:rPr>
          <w:rFonts w:ascii="Arial" w:cs="Arial" w:eastAsia="Arial" w:hAnsi="Arial"/>
          <w:sz w:val="22"/>
          <w:szCs w:val="22"/>
        </w:rPr>
        <w:t xml:space="preserve"> – Principal Component Analysis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PCR</w:t>
      </w:r>
      <w:r>
        <w:rPr>
          <w:rFonts w:ascii="Arial" w:cs="Arial" w:eastAsia="Arial" w:hAnsi="Arial"/>
          <w:sz w:val="22"/>
          <w:szCs w:val="22"/>
        </w:rPr>
        <w:t xml:space="preserve"> – Polymerase Chain Reaction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PI</w:t>
      </w:r>
      <w:r>
        <w:rPr>
          <w:rFonts w:ascii="Arial" w:cs="Arial" w:eastAsia="Arial" w:hAnsi="Arial"/>
          <w:sz w:val="22"/>
          <w:szCs w:val="22"/>
        </w:rPr>
        <w:t xml:space="preserve"> – Propidium Iodide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QC</w:t>
      </w:r>
      <w:r>
        <w:rPr>
          <w:rFonts w:ascii="Arial" w:cs="Arial" w:eastAsia="Arial" w:hAnsi="Arial"/>
          <w:sz w:val="22"/>
          <w:szCs w:val="22"/>
        </w:rPr>
        <w:t xml:space="preserve"> – Quality Control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QUB</w:t>
      </w:r>
      <w:r>
        <w:rPr>
          <w:rFonts w:ascii="Arial" w:cs="Arial" w:eastAsia="Arial" w:hAnsi="Arial"/>
          <w:sz w:val="22"/>
          <w:szCs w:val="22"/>
        </w:rPr>
        <w:t xml:space="preserve"> – Queen's University Belfast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RFU</w:t>
      </w:r>
      <w:r>
        <w:rPr>
          <w:rFonts w:ascii="Arial" w:cs="Arial" w:eastAsia="Arial" w:hAnsi="Arial"/>
          <w:sz w:val="22"/>
          <w:szCs w:val="22"/>
        </w:rPr>
        <w:t xml:space="preserve"> – Relative Fluorescence Units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SD</w:t>
      </w:r>
      <w:r>
        <w:rPr>
          <w:rFonts w:ascii="Arial" w:cs="Arial" w:eastAsia="Arial" w:hAnsi="Arial"/>
          <w:sz w:val="22"/>
          <w:szCs w:val="22"/>
        </w:rPr>
        <w:t xml:space="preserve"> – Standard Deviation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SE</w:t>
      </w:r>
      <w:r>
        <w:rPr>
          <w:rFonts w:ascii="Arial" w:cs="Arial" w:eastAsia="Arial" w:hAnsi="Arial"/>
          <w:sz w:val="22"/>
          <w:szCs w:val="22"/>
        </w:rPr>
        <w:t xml:space="preserve"> – Standard Error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SF</w:t>
      </w:r>
      <w:r>
        <w:rPr>
          <w:rFonts w:ascii="Arial" w:cs="Arial" w:eastAsia="Arial" w:hAnsi="Arial"/>
          <w:sz w:val="22"/>
          <w:szCs w:val="22"/>
        </w:rPr>
        <w:t xml:space="preserve"> – Size Factor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SLAM-seq</w:t>
      </w:r>
      <w:r>
        <w:rPr>
          <w:rFonts w:ascii="Arial" w:cs="Arial" w:eastAsia="Arial" w:hAnsi="Arial"/>
          <w:sz w:val="22"/>
          <w:szCs w:val="22"/>
        </w:rPr>
        <w:t xml:space="preserve"> – Thiol(SH)-Linked Alkylation for the Metabolic Sequencing of RNA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SS</w:t>
      </w:r>
      <w:r>
        <w:rPr>
          <w:rFonts w:ascii="Arial" w:cs="Arial" w:eastAsia="Arial" w:hAnsi="Arial"/>
          <w:sz w:val="22"/>
          <w:szCs w:val="22"/>
        </w:rPr>
        <w:t xml:space="preserve"> – Starved State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TF</w:t>
      </w:r>
      <w:r>
        <w:rPr>
          <w:rFonts w:ascii="Arial" w:cs="Arial" w:eastAsia="Arial" w:hAnsi="Arial"/>
          <w:sz w:val="22"/>
          <w:szCs w:val="22"/>
        </w:rPr>
        <w:t xml:space="preserve"> – Transcription Factor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TFT</w:t>
      </w:r>
      <w:r>
        <w:rPr>
          <w:rFonts w:ascii="Arial" w:cs="Arial" w:eastAsia="Arial" w:hAnsi="Arial"/>
          <w:sz w:val="22"/>
          <w:szCs w:val="22"/>
        </w:rPr>
        <w:t xml:space="preserve"> – Transcription Factor Targets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TMM</w:t>
      </w:r>
      <w:r>
        <w:rPr>
          <w:rFonts w:ascii="Arial" w:cs="Arial" w:eastAsia="Arial" w:hAnsi="Arial"/>
          <w:sz w:val="22"/>
          <w:szCs w:val="22"/>
        </w:rPr>
        <w:t xml:space="preserve"> – Trimmed Mean of M-values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TMM_IP</w:t>
      </w:r>
      <w:r>
        <w:rPr>
          <w:rFonts w:ascii="Arial" w:cs="Arial" w:eastAsia="Arial" w:hAnsi="Arial"/>
          <w:sz w:val="22"/>
          <w:szCs w:val="22"/>
        </w:rPr>
        <w:t xml:space="preserve"> – Trimmed Mean of M-values applied to Invariant Peaks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TSS</w:t>
      </w:r>
      <w:r>
        <w:rPr>
          <w:rFonts w:ascii="Arial" w:cs="Arial" w:eastAsia="Arial" w:hAnsi="Arial"/>
          <w:sz w:val="22"/>
          <w:szCs w:val="22"/>
        </w:rPr>
        <w:t xml:space="preserve"> – Transcription Start Site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VST</w:t>
      </w:r>
      <w:r>
        <w:rPr>
          <w:rFonts w:ascii="Arial" w:cs="Arial" w:eastAsia="Arial" w:hAnsi="Arial"/>
          <w:sz w:val="22"/>
          <w:szCs w:val="22"/>
        </w:rPr>
        <w:t xml:space="preserve"> – Variance-Stabilizing Transformation</w:t>
      </w:r>
    </w:p>
    <w:p>
      <w:pPr>
        <w:spacing w:after="8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wNES</w:t>
      </w:r>
      <w:r>
        <w:rPr>
          <w:rFonts w:ascii="Arial" w:cs="Arial" w:eastAsia="Arial" w:hAnsi="Arial"/>
          <w:sz w:val="22"/>
          <w:szCs w:val="22"/>
        </w:rPr>
        <w:t xml:space="preserve"> – Weighted Normalized Enrichment Score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240"/>
    </w:pPr>
    <w:rPr>
      <w:rFonts w:ascii="Arial" w:cs="Arial" w:eastAsia="Arial" w:hAnsi="Arial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2026-03-28T10:08:49.402Z</dcterms:created>
  <dcterms:modified xsi:type="dcterms:W3CDTF">2026-03-28T10:08:49.404Z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