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2D7" w:rsidRPr="00A1318C" w:rsidRDefault="006172D7" w:rsidP="006172D7">
      <w:pPr>
        <w:spacing w:line="360" w:lineRule="auto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A1318C">
        <w:rPr>
          <w:rFonts w:ascii="Times New Roman" w:hAnsi="Times New Roman" w:cs="Times New Roman"/>
          <w:sz w:val="20"/>
          <w:szCs w:val="20"/>
        </w:rPr>
        <w:t xml:space="preserve">Table 4: Efficacy of different acaricide against the yellow mite, </w:t>
      </w:r>
      <w:r w:rsidRPr="00A1318C">
        <w:rPr>
          <w:rFonts w:ascii="Times New Roman" w:hAnsi="Times New Roman" w:cs="Times New Roman"/>
          <w:i/>
          <w:sz w:val="20"/>
          <w:szCs w:val="20"/>
        </w:rPr>
        <w:t>Polyphagotarsonemus latus</w:t>
      </w:r>
      <w:r w:rsidRPr="00A1318C">
        <w:rPr>
          <w:rFonts w:ascii="Times New Roman" w:hAnsi="Times New Roman" w:cs="Times New Roman"/>
          <w:sz w:val="20"/>
          <w:szCs w:val="20"/>
        </w:rPr>
        <w:t xml:space="preserve"> (Banks)</w:t>
      </w:r>
    </w:p>
    <w:tbl>
      <w:tblPr>
        <w:tblStyle w:val="TableGrid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60"/>
        <w:gridCol w:w="709"/>
        <w:gridCol w:w="1134"/>
        <w:gridCol w:w="992"/>
        <w:gridCol w:w="993"/>
        <w:gridCol w:w="992"/>
        <w:gridCol w:w="992"/>
        <w:gridCol w:w="1134"/>
        <w:gridCol w:w="992"/>
        <w:gridCol w:w="993"/>
        <w:gridCol w:w="992"/>
        <w:gridCol w:w="992"/>
        <w:gridCol w:w="992"/>
        <w:gridCol w:w="993"/>
        <w:gridCol w:w="992"/>
      </w:tblGrid>
      <w:tr w:rsidR="006172D7" w:rsidRPr="00A1318C" w:rsidTr="00110A49">
        <w:trPr>
          <w:trHeight w:val="1220"/>
        </w:trPr>
        <w:tc>
          <w:tcPr>
            <w:tcW w:w="1560" w:type="dxa"/>
            <w:vMerge w:val="restart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sz w:val="20"/>
                <w:szCs w:val="20"/>
              </w:rPr>
              <w:t>Acaricides</w:t>
            </w:r>
          </w:p>
        </w:tc>
        <w:tc>
          <w:tcPr>
            <w:tcW w:w="709" w:type="dxa"/>
            <w:vMerge w:val="restart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color w:val="212120"/>
                <w:sz w:val="20"/>
                <w:szCs w:val="20"/>
              </w:rPr>
              <w:t>Dose</w:t>
            </w:r>
            <w:r w:rsidRPr="00A1318C">
              <w:rPr>
                <w:rFonts w:ascii="Times New Roman" w:hAnsi="Times New Roman" w:cs="Times New Roman"/>
                <w:color w:val="212120"/>
                <w:sz w:val="20"/>
                <w:szCs w:val="20"/>
              </w:rPr>
              <w:br/>
            </w:r>
            <w:r w:rsidRPr="00A1318C">
              <w:rPr>
                <w:rFonts w:ascii="Times New Roman" w:hAnsi="Times New Roman" w:cs="Times New Roman"/>
                <w:b/>
                <w:bCs/>
                <w:color w:val="212120"/>
                <w:sz w:val="20"/>
                <w:szCs w:val="20"/>
              </w:rPr>
              <w:t>(ga.i./</w:t>
            </w:r>
            <w:r w:rsidRPr="00A1318C">
              <w:rPr>
                <w:rFonts w:ascii="Times New Roman" w:hAnsi="Times New Roman" w:cs="Times New Roman"/>
                <w:color w:val="212120"/>
                <w:sz w:val="20"/>
                <w:szCs w:val="20"/>
              </w:rPr>
              <w:br/>
            </w:r>
            <w:r w:rsidRPr="00A1318C">
              <w:rPr>
                <w:rFonts w:ascii="Times New Roman" w:hAnsi="Times New Roman" w:cs="Times New Roman"/>
                <w:b/>
                <w:bCs/>
                <w:color w:val="212120"/>
                <w:sz w:val="20"/>
                <w:szCs w:val="20"/>
              </w:rPr>
              <w:t>ha)</w:t>
            </w:r>
            <w:r w:rsidRPr="00A1318C">
              <w:rPr>
                <w:rFonts w:ascii="Times New Roman" w:hAnsi="Times New Roman" w:cs="Times New Roman"/>
                <w:color w:val="212120"/>
                <w:sz w:val="20"/>
                <w:szCs w:val="20"/>
              </w:rPr>
              <w:br/>
            </w:r>
          </w:p>
        </w:tc>
        <w:tc>
          <w:tcPr>
            <w:tcW w:w="1134" w:type="dxa"/>
            <w:vMerge w:val="restart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of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mite/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sq.cm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leaf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before 1</w:t>
            </w: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st</w:t>
            </w: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spray</w:t>
            </w:r>
          </w:p>
        </w:tc>
        <w:tc>
          <w:tcPr>
            <w:tcW w:w="3969" w:type="dxa"/>
            <w:gridSpan w:val="4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 % mortality of yellow mite</w:t>
            </w: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after 1</w:t>
            </w: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st</w:t>
            </w: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round at different days after spray (DAS)</w:t>
            </w:r>
          </w:p>
        </w:tc>
        <w:tc>
          <w:tcPr>
            <w:tcW w:w="1134" w:type="dxa"/>
            <w:vMerge w:val="restart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of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mite/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sq.cm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leaf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before 2</w:t>
            </w: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nd</w:t>
            </w: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A131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spray</w:t>
            </w:r>
          </w:p>
        </w:tc>
        <w:tc>
          <w:tcPr>
            <w:tcW w:w="3969" w:type="dxa"/>
            <w:gridSpan w:val="4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 % mortality of  yellow mite</w:t>
            </w: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after 2</w:t>
            </w: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nd</w:t>
            </w: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round at different days fter spray (DAS)</w:t>
            </w:r>
          </w:p>
        </w:tc>
        <w:tc>
          <w:tcPr>
            <w:tcW w:w="1985" w:type="dxa"/>
            <w:gridSpan w:val="2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992" w:type="dxa"/>
            <w:vMerge w:val="restart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Pooled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172D7" w:rsidRPr="00A1318C" w:rsidTr="00110A49">
        <w:trPr>
          <w:trHeight w:val="547"/>
        </w:trPr>
        <w:tc>
          <w:tcPr>
            <w:tcW w:w="1560" w:type="dxa"/>
            <w:vMerge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DAS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DAS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DAS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 DAS</w:t>
            </w:r>
          </w:p>
        </w:tc>
        <w:tc>
          <w:tcPr>
            <w:tcW w:w="1134" w:type="dxa"/>
            <w:vMerge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DAS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DAS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DAS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 DAS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st</w:t>
            </w: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Spray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nd</w:t>
            </w:r>
            <w:r w:rsidRPr="00A131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Spray</w:t>
            </w:r>
          </w:p>
        </w:tc>
        <w:tc>
          <w:tcPr>
            <w:tcW w:w="992" w:type="dxa"/>
            <w:vMerge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172D7" w:rsidRPr="00A1318C" w:rsidTr="00110A49">
        <w:tc>
          <w:tcPr>
            <w:tcW w:w="1560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Dicofol 18.5%EC</w:t>
            </w:r>
          </w:p>
        </w:tc>
        <w:tc>
          <w:tcPr>
            <w:tcW w:w="709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13.40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75.20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(60.46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3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77.30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(61.88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78.01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(62.38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80.02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(63.80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4.60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81.30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(64.75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83.35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(66.30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90.00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(72.05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90.00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(72.05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77.63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(62.11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86.16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(68.57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81.90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(65.19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6172D7" w:rsidRPr="00A1318C" w:rsidTr="00110A49">
        <w:tc>
          <w:tcPr>
            <w:tcW w:w="1560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Diafenthiouron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50 WP</w:t>
            </w:r>
          </w:p>
        </w:tc>
        <w:tc>
          <w:tcPr>
            <w:tcW w:w="709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14.00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70.01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(57.10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3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75.11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(60.40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77.81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(62.24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82.02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(65.28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6.96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80.03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(63.81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83.30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(66.26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87.73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(69.93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90.00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(72.05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76.23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(61.15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85.26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(67.82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80.75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(64.34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6172D7" w:rsidRPr="00A1318C" w:rsidTr="00110A49">
        <w:tc>
          <w:tcPr>
            <w:tcW w:w="1560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Spiromesifen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22.9% EC</w:t>
            </w:r>
          </w:p>
        </w:tc>
        <w:tc>
          <w:tcPr>
            <w:tcW w:w="709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11.40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73.10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(59.08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3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71.54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(58.07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79.22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(63.23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81.40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(64.82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3.90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(63.79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84.03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(66.83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90.08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(72.12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90.07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(72.11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76.31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(61.21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86.04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(68.47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81.18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(64.65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fg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6172D7" w:rsidRPr="00A1318C" w:rsidTr="00110A49">
        <w:tc>
          <w:tcPr>
            <w:tcW w:w="1560" w:type="dxa"/>
          </w:tcPr>
          <w:p w:rsidR="006172D7" w:rsidRPr="00A1318C" w:rsidRDefault="006172D7" w:rsidP="00110A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 xml:space="preserve">  Fenazaquin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10%EC</w:t>
            </w:r>
          </w:p>
        </w:tc>
        <w:tc>
          <w:tcPr>
            <w:tcW w:w="709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9.53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75.02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(60.34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3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73.32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(59.22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ef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70.04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(57.13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70.04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(57.12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3.90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69.15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(56.57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72.32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(58.57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75.20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(60.46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77.78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(62.22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72.10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(58.43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73.61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(59.41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72.86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(58.92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6172D7" w:rsidRPr="00A1318C" w:rsidTr="00110A49">
        <w:tc>
          <w:tcPr>
            <w:tcW w:w="1560" w:type="dxa"/>
          </w:tcPr>
          <w:p w:rsidR="006172D7" w:rsidRPr="00A1318C" w:rsidRDefault="006172D7" w:rsidP="00110A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Fenpyroximate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5% EC</w:t>
            </w:r>
          </w:p>
        </w:tc>
        <w:tc>
          <w:tcPr>
            <w:tcW w:w="709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63.31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(53.01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3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65.11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(54.09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68.20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(55.98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(57.10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4.13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65.05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(54.05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66.36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(54.85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71.30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(57.92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(63.79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66.65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(55.02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70.67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(57.52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68.66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(56.26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6172D7" w:rsidRPr="00A1318C" w:rsidTr="00110A49">
        <w:tc>
          <w:tcPr>
            <w:tcW w:w="1560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Profenfos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50EC</w:t>
            </w:r>
          </w:p>
        </w:tc>
        <w:tc>
          <w:tcPr>
            <w:tcW w:w="709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8.26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65.02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(54.04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3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67.33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(55.44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63.42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(53.08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65.01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(54.03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70.07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(57.14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73.35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(59.24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74.00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(59.67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bc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80.05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(63.83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65.19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(54.14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74.36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(59.90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69.78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(56.96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6172D7" w:rsidRPr="00A1318C" w:rsidTr="00110A49">
        <w:tc>
          <w:tcPr>
            <w:tcW w:w="1560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Propargite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50EC</w:t>
            </w:r>
          </w:p>
        </w:tc>
        <w:tc>
          <w:tcPr>
            <w:tcW w:w="709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13.80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57.10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(49.37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3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60.60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(51.41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62.20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(52.35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63.53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(53.14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6.33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68.15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(55.95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70.33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(57.31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bc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73.54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(59.36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bc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75.00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(60.33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60.85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(51.56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71.75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(58.21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66.30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(54.81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6172D7" w:rsidRPr="00A1318C" w:rsidTr="00110A49">
        <w:tc>
          <w:tcPr>
            <w:tcW w:w="1560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709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12.03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4.05</w:t>
            </w:r>
            <w:r w:rsidRPr="00A1318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(4.05</w:t>
            </w:r>
            <w:r w:rsidRPr="00A1318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(4.05</w:t>
            </w:r>
            <w:r w:rsidRPr="00A1318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(4.05</w:t>
            </w:r>
            <w:r w:rsidRPr="00A1318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20.03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(4.05</w:t>
            </w:r>
            <w:r w:rsidRPr="00A1318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(4.05d</w:t>
            </w:r>
            <w:r w:rsidRPr="00A1318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(4.05</w:t>
            </w:r>
            <w:r w:rsidRPr="00A1318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(4.05</w:t>
            </w:r>
            <w:r w:rsidRPr="00A1318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(4.05</w:t>
            </w:r>
            <w:r w:rsidRPr="00A1318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(4.05</w:t>
            </w:r>
            <w:r w:rsidRPr="00A1318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bottom"/>
          </w:tcPr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:rsidR="006172D7" w:rsidRPr="00A1318C" w:rsidRDefault="006172D7" w:rsidP="00110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(4.05</w:t>
            </w:r>
            <w:r w:rsidRPr="00A1318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A131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:rsidR="006172D7" w:rsidRPr="00A1318C" w:rsidRDefault="006172D7" w:rsidP="006172D7">
      <w:pPr>
        <w:spacing w:line="360" w:lineRule="auto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A1318C">
        <w:rPr>
          <w:rFonts w:ascii="Times New Roman" w:hAnsi="Times New Roman" w:cs="Times New Roman"/>
          <w:bCs/>
          <w:sz w:val="20"/>
          <w:szCs w:val="20"/>
        </w:rPr>
        <w:t>Column, averages followed by different letters are significantly different (</w:t>
      </w:r>
      <w:r w:rsidRPr="00A1318C">
        <w:rPr>
          <w:rFonts w:ascii="Times New Roman" w:hAnsi="Times New Roman" w:cs="Times New Roman"/>
          <w:i/>
          <w:sz w:val="20"/>
          <w:szCs w:val="20"/>
        </w:rPr>
        <w:t>P</w:t>
      </w:r>
      <w:r w:rsidRPr="00A1318C">
        <w:rPr>
          <w:rFonts w:ascii="Times New Roman" w:hAnsi="Times New Roman" w:cs="Times New Roman"/>
          <w:sz w:val="20"/>
          <w:szCs w:val="20"/>
        </w:rPr>
        <w:t xml:space="preserve"> = 0.01</w:t>
      </w:r>
      <w:r w:rsidRPr="00A1318C">
        <w:rPr>
          <w:rFonts w:ascii="Times New Roman" w:hAnsi="Times New Roman" w:cs="Times New Roman"/>
          <w:bCs/>
          <w:sz w:val="20"/>
          <w:szCs w:val="20"/>
        </w:rPr>
        <w:t>), as determined by Duncan’s Multiple Range test</w:t>
      </w:r>
      <w:r w:rsidRPr="00A1318C">
        <w:rPr>
          <w:rFonts w:ascii="Times New Roman" w:hAnsi="Times New Roman" w:cs="Times New Roman"/>
          <w:sz w:val="20"/>
          <w:szCs w:val="20"/>
        </w:rPr>
        <w:t>. Angular values are given with parentheses</w:t>
      </w:r>
    </w:p>
    <w:p w:rsidR="00DA32A0" w:rsidRPr="0048094E" w:rsidRDefault="006172D7" w:rsidP="0048094E">
      <w:bookmarkStart w:id="0" w:name="_GoBack"/>
      <w:bookmarkEnd w:id="0"/>
    </w:p>
    <w:sectPr w:rsidR="00DA32A0" w:rsidRPr="0048094E" w:rsidSect="006172D7">
      <w:pgSz w:w="24480" w:h="15840" w:orient="landscape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MingLiU">
    <w:altName w:val="Arial Unicode MS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94E"/>
    <w:rsid w:val="0016198D"/>
    <w:rsid w:val="003E54F6"/>
    <w:rsid w:val="0048094E"/>
    <w:rsid w:val="0061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B7463"/>
  <w15:chartTrackingRefBased/>
  <w15:docId w15:val="{C25E8408-7E06-4897-AD9F-BB4C3DB33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094E"/>
    <w:pPr>
      <w:spacing w:after="0" w:line="240" w:lineRule="auto"/>
    </w:pPr>
    <w:rPr>
      <w:rFonts w:ascii="PMingLiU" w:eastAsia="PMingLiU" w:hAnsi="PMingLiU" w:cs="PMingLiU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72D7"/>
    <w:pPr>
      <w:spacing w:after="0" w:line="240" w:lineRule="auto"/>
    </w:pPr>
    <w:rPr>
      <w:lang w:val="en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2021-09-27T08:37:00Z</dcterms:created>
  <dcterms:modified xsi:type="dcterms:W3CDTF">2021-09-27T10:13:00Z</dcterms:modified>
</cp:coreProperties>
</file>