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21F74">
      <w:pPr>
        <w:rPr>
          <w:rFonts w:hint="eastAsia" w:ascii="Times New Roman" w:hAnsi="Times New Roman" w:eastAsia="宋体" w:cs="Times New Roman"/>
          <w:lang w:val="en-US" w:eastAsia="zh-CN"/>
        </w:rPr>
      </w:pPr>
      <w:bookmarkStart w:id="0" w:name="_Hlk190463351"/>
      <w:bookmarkStart w:id="1" w:name="_Hlk191282776"/>
      <w:r>
        <w:rPr>
          <w:rFonts w:hint="eastAsia" w:ascii="Times New Roman" w:hAnsi="Times New Roman" w:eastAsia="宋体" w:cs="Times New Roman"/>
          <w:b/>
          <w:bCs/>
        </w:rPr>
        <w:t>Supplementary File</w:t>
      </w:r>
      <w:r>
        <w:rPr>
          <w:rFonts w:hint="eastAsia" w:ascii="Times New Roman" w:hAnsi="Times New Roman" w:eastAsia="宋体" w:cs="Times New Roman"/>
          <w:b/>
          <w:bCs/>
          <w:lang w:val="en-US" w:eastAsia="zh-CN"/>
        </w:rPr>
        <w:t>.</w:t>
      </w:r>
      <w:r>
        <w:rPr>
          <w:rFonts w:hint="eastAsia" w:ascii="Times New Roman" w:hAnsi="Times New Roman" w:eastAsia="宋体" w:cs="Times New Roman"/>
          <w:b/>
          <w:bCs/>
        </w:rPr>
        <w:t xml:space="preserve"> 1 </w:t>
      </w:r>
      <w:r>
        <w:rPr>
          <w:rFonts w:hint="eastAsia" w:ascii="Times New Roman" w:hAnsi="Times New Roman" w:eastAsia="宋体" w:cs="Times New Roman"/>
          <w:b/>
          <w:bCs/>
          <w:lang w:val="en-US" w:eastAsia="zh-CN"/>
        </w:rPr>
        <w:t xml:space="preserve">: </w:t>
      </w:r>
      <w:r>
        <w:rPr>
          <w:rFonts w:hint="eastAsia" w:ascii="Times New Roman" w:hAnsi="Times New Roman" w:eastAsia="宋体" w:cs="Times New Roman"/>
          <w:b/>
          <w:bCs/>
        </w:rPr>
        <w:t xml:space="preserve">Implementation </w:t>
      </w:r>
      <w:r>
        <w:rPr>
          <w:rFonts w:hint="eastAsia" w:ascii="Times New Roman" w:hAnsi="Times New Roman" w:eastAsia="宋体" w:cs="Times New Roman"/>
          <w:b/>
          <w:bCs/>
          <w:lang w:val="en-US" w:eastAsia="zh-CN"/>
        </w:rPr>
        <w:t>p</w:t>
      </w:r>
      <w:r>
        <w:rPr>
          <w:rFonts w:hint="eastAsia" w:ascii="Times New Roman" w:hAnsi="Times New Roman" w:eastAsia="宋体" w:cs="Times New Roman"/>
          <w:b/>
          <w:bCs/>
        </w:rPr>
        <w:t xml:space="preserve">rocess of BOPPPS </w:t>
      </w:r>
      <w:r>
        <w:rPr>
          <w:rFonts w:hint="eastAsia" w:ascii="Times New Roman" w:hAnsi="Times New Roman" w:eastAsia="宋体" w:cs="Times New Roman"/>
          <w:b/>
          <w:bCs/>
          <w:lang w:val="en-US" w:eastAsia="zh-CN"/>
        </w:rPr>
        <w:t>m</w:t>
      </w:r>
      <w:r>
        <w:rPr>
          <w:rFonts w:hint="eastAsia" w:ascii="Times New Roman" w:hAnsi="Times New Roman" w:eastAsia="宋体" w:cs="Times New Roman"/>
          <w:b/>
          <w:bCs/>
        </w:rPr>
        <w:t xml:space="preserve">odel </w:t>
      </w:r>
      <w:r>
        <w:rPr>
          <w:rFonts w:hint="eastAsia" w:ascii="Times New Roman" w:hAnsi="Times New Roman" w:eastAsia="宋体" w:cs="Times New Roman"/>
          <w:b/>
          <w:bCs/>
          <w:lang w:val="en-US" w:eastAsia="zh-CN"/>
        </w:rPr>
        <w:t>c</w:t>
      </w:r>
      <w:r>
        <w:rPr>
          <w:rFonts w:hint="eastAsia" w:ascii="Times New Roman" w:hAnsi="Times New Roman" w:eastAsia="宋体" w:cs="Times New Roman"/>
          <w:b/>
          <w:bCs/>
        </w:rPr>
        <w:t xml:space="preserve">ombined with </w:t>
      </w:r>
      <w:r>
        <w:rPr>
          <w:rFonts w:hint="eastAsia" w:ascii="Times New Roman" w:hAnsi="Times New Roman" w:eastAsia="宋体" w:cs="Times New Roman"/>
          <w:b/>
          <w:bCs/>
          <w:lang w:val="en-US" w:eastAsia="zh-CN"/>
        </w:rPr>
        <w:t>a</w:t>
      </w:r>
      <w:r>
        <w:rPr>
          <w:rFonts w:hint="eastAsia" w:ascii="Times New Roman" w:hAnsi="Times New Roman" w:eastAsia="宋体" w:cs="Times New Roman"/>
          <w:b/>
          <w:bCs/>
        </w:rPr>
        <w:t xml:space="preserve">rt </w:t>
      </w:r>
      <w:r>
        <w:rPr>
          <w:rFonts w:hint="eastAsia" w:ascii="Times New Roman" w:hAnsi="Times New Roman" w:eastAsia="宋体" w:cs="Times New Roman"/>
          <w:b/>
          <w:bCs/>
          <w:lang w:val="en-US" w:eastAsia="zh-CN"/>
        </w:rPr>
        <w:t>d</w:t>
      </w:r>
      <w:r>
        <w:rPr>
          <w:rFonts w:hint="eastAsia" w:ascii="Times New Roman" w:hAnsi="Times New Roman" w:eastAsia="宋体" w:cs="Times New Roman"/>
          <w:b/>
          <w:bCs/>
        </w:rPr>
        <w:t>rawing (</w:t>
      </w:r>
      <w:r>
        <w:rPr>
          <w:rFonts w:hint="eastAsia" w:ascii="Times New Roman" w:hAnsi="Times New Roman" w:eastAsia="宋体" w:cs="Times New Roman"/>
          <w:b/>
          <w:bCs/>
          <w:lang w:val="en-US" w:eastAsia="zh-CN"/>
        </w:rPr>
        <w:t>t</w:t>
      </w:r>
      <w:r>
        <w:rPr>
          <w:rFonts w:hint="eastAsia" w:ascii="Times New Roman" w:hAnsi="Times New Roman" w:eastAsia="宋体" w:cs="Times New Roman"/>
          <w:b/>
          <w:bCs/>
        </w:rPr>
        <w:t xml:space="preserve">aking </w:t>
      </w:r>
      <w:r>
        <w:rPr>
          <w:rFonts w:hint="eastAsia" w:ascii="Times New Roman" w:hAnsi="Times New Roman" w:eastAsia="宋体" w:cs="Times New Roman"/>
          <w:b/>
          <w:bCs/>
          <w:lang w:val="en-US" w:eastAsia="zh-CN"/>
        </w:rPr>
        <w:t>p</w:t>
      </w:r>
      <w:r>
        <w:rPr>
          <w:rFonts w:hint="eastAsia" w:ascii="Times New Roman" w:hAnsi="Times New Roman" w:eastAsia="宋体" w:cs="Times New Roman"/>
          <w:b/>
          <w:bCs/>
        </w:rPr>
        <w:t xml:space="preserve">artial </w:t>
      </w:r>
      <w:r>
        <w:rPr>
          <w:rFonts w:hint="eastAsia" w:ascii="Times New Roman" w:hAnsi="Times New Roman" w:eastAsia="宋体" w:cs="Times New Roman"/>
          <w:b/>
          <w:bCs/>
          <w:lang w:val="en-US" w:eastAsia="zh-CN"/>
        </w:rPr>
        <w:t>c</w:t>
      </w:r>
      <w:r>
        <w:rPr>
          <w:rFonts w:hint="eastAsia" w:ascii="Times New Roman" w:hAnsi="Times New Roman" w:eastAsia="宋体" w:cs="Times New Roman"/>
          <w:b/>
          <w:bCs/>
        </w:rPr>
        <w:t xml:space="preserve">hapters and </w:t>
      </w:r>
      <w:r>
        <w:rPr>
          <w:rFonts w:hint="eastAsia" w:ascii="Times New Roman" w:hAnsi="Times New Roman" w:eastAsia="宋体" w:cs="Times New Roman"/>
          <w:b/>
          <w:bCs/>
          <w:lang w:val="en-US" w:eastAsia="zh-CN"/>
        </w:rPr>
        <w:t>k</w:t>
      </w:r>
      <w:r>
        <w:rPr>
          <w:rFonts w:hint="eastAsia" w:ascii="Times New Roman" w:hAnsi="Times New Roman" w:eastAsia="宋体" w:cs="Times New Roman"/>
          <w:b/>
          <w:bCs/>
        </w:rPr>
        <w:t xml:space="preserve">nowledge </w:t>
      </w:r>
      <w:r>
        <w:rPr>
          <w:rFonts w:hint="eastAsia" w:ascii="Times New Roman" w:hAnsi="Times New Roman" w:eastAsia="宋体" w:cs="Times New Roman"/>
          <w:b/>
          <w:bCs/>
          <w:lang w:val="en-US" w:eastAsia="zh-CN"/>
        </w:rPr>
        <w:t>p</w:t>
      </w:r>
      <w:r>
        <w:rPr>
          <w:rFonts w:hint="eastAsia" w:ascii="Times New Roman" w:hAnsi="Times New Roman" w:eastAsia="宋体" w:cs="Times New Roman"/>
          <w:b/>
          <w:bCs/>
        </w:rPr>
        <w:t xml:space="preserve">oints as </w:t>
      </w:r>
      <w:r>
        <w:rPr>
          <w:rFonts w:hint="eastAsia" w:ascii="Times New Roman" w:hAnsi="Times New Roman" w:eastAsia="宋体" w:cs="Times New Roman"/>
          <w:b/>
          <w:bCs/>
          <w:lang w:val="en-US" w:eastAsia="zh-CN"/>
        </w:rPr>
        <w:t>e</w:t>
      </w:r>
      <w:r>
        <w:rPr>
          <w:rFonts w:hint="eastAsia" w:ascii="Times New Roman" w:hAnsi="Times New Roman" w:eastAsia="宋体" w:cs="Times New Roman"/>
          <w:b/>
          <w:bCs/>
        </w:rPr>
        <w:t>xamples)</w:t>
      </w:r>
      <w:r>
        <w:rPr>
          <w:rFonts w:hint="eastAsia" w:ascii="Times New Roman" w:hAnsi="Times New Roman" w:eastAsia="宋体" w:cs="Times New Roman"/>
          <w:b/>
          <w:bCs/>
          <w:lang w:val="en-US" w:eastAsia="zh-CN"/>
        </w:rPr>
        <w:t>.</w:t>
      </w:r>
    </w:p>
    <w:bookmarkEnd w:id="0"/>
    <w:tbl>
      <w:tblPr>
        <w:tblStyle w:val="4"/>
        <w:tblW w:w="5000" w:type="pct"/>
        <w:tblInd w:w="0" w:type="dxa"/>
        <w:tblLayout w:type="autofit"/>
        <w:tblCellMar>
          <w:top w:w="0" w:type="dxa"/>
          <w:left w:w="108" w:type="dxa"/>
          <w:bottom w:w="0" w:type="dxa"/>
          <w:right w:w="108" w:type="dxa"/>
        </w:tblCellMar>
      </w:tblPr>
      <w:tblGrid>
        <w:gridCol w:w="2793"/>
        <w:gridCol w:w="1997"/>
        <w:gridCol w:w="2139"/>
        <w:gridCol w:w="7245"/>
      </w:tblGrid>
      <w:tr w14:paraId="22E9BF61">
        <w:tblPrEx>
          <w:tblCellMar>
            <w:top w:w="0" w:type="dxa"/>
            <w:left w:w="108" w:type="dxa"/>
            <w:bottom w:w="0" w:type="dxa"/>
            <w:right w:w="108" w:type="dxa"/>
          </w:tblCellMar>
        </w:tblPrEx>
        <w:trPr>
          <w:trHeight w:val="375" w:hRule="atLeast"/>
        </w:trPr>
        <w:tc>
          <w:tcPr>
            <w:tcW w:w="985" w:type="pct"/>
            <w:tcBorders>
              <w:top w:val="single" w:color="000000" w:sz="12" w:space="0"/>
              <w:left w:val="nil"/>
              <w:bottom w:val="single" w:color="000000" w:sz="4" w:space="0"/>
              <w:right w:val="nil"/>
              <w:tl2br w:val="nil"/>
            </w:tcBorders>
            <w:shd w:val="clear" w:color="auto" w:fill="FFFFFF"/>
            <w:vAlign w:val="center"/>
          </w:tcPr>
          <w:p w14:paraId="1B98B9B6">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 xml:space="preserve">Stages and </w:t>
            </w:r>
            <w:r>
              <w:rPr>
                <w:rFonts w:hint="eastAsia" w:ascii="Times New Roman" w:hAnsi="Times New Roman" w:eastAsia="宋体" w:cs="Times New Roman"/>
                <w:bCs/>
                <w:color w:val="000000"/>
                <w:szCs w:val="21"/>
                <w:lang w:val="en-US" w:eastAsia="zh-CN"/>
              </w:rPr>
              <w:t>c</w:t>
            </w:r>
            <w:r>
              <w:rPr>
                <w:rFonts w:hint="eastAsia" w:ascii="Times New Roman" w:hAnsi="Times New Roman" w:eastAsia="宋体" w:cs="Times New Roman"/>
                <w:bCs/>
                <w:color w:val="000000"/>
                <w:szCs w:val="21"/>
              </w:rPr>
              <w:t>ontents</w:t>
            </w:r>
          </w:p>
        </w:tc>
        <w:tc>
          <w:tcPr>
            <w:tcW w:w="704" w:type="pct"/>
            <w:tcBorders>
              <w:top w:val="single" w:color="000000" w:sz="12" w:space="0"/>
              <w:left w:val="nil"/>
              <w:bottom w:val="single" w:color="000000" w:sz="4" w:space="0"/>
              <w:right w:val="nil"/>
            </w:tcBorders>
            <w:shd w:val="clear" w:color="auto" w:fill="FFFFFF"/>
            <w:vAlign w:val="center"/>
          </w:tcPr>
          <w:p w14:paraId="0099B510">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 xml:space="preserve">Course </w:t>
            </w:r>
            <w:r>
              <w:rPr>
                <w:rFonts w:hint="eastAsia" w:ascii="Times New Roman" w:hAnsi="Times New Roman" w:eastAsia="宋体" w:cs="Times New Roman"/>
                <w:bCs/>
                <w:color w:val="000000"/>
                <w:szCs w:val="21"/>
                <w:lang w:val="en-US" w:eastAsia="zh-CN"/>
              </w:rPr>
              <w:t>c</w:t>
            </w:r>
            <w:r>
              <w:rPr>
                <w:rFonts w:hint="eastAsia" w:ascii="Times New Roman" w:hAnsi="Times New Roman" w:eastAsia="宋体" w:cs="Times New Roman"/>
                <w:bCs/>
                <w:color w:val="000000"/>
                <w:szCs w:val="21"/>
              </w:rPr>
              <w:t>hapter</w:t>
            </w:r>
          </w:p>
        </w:tc>
        <w:tc>
          <w:tcPr>
            <w:tcW w:w="754" w:type="pct"/>
            <w:tcBorders>
              <w:top w:val="single" w:color="000000" w:sz="12" w:space="0"/>
              <w:left w:val="nil"/>
              <w:bottom w:val="single" w:color="000000" w:sz="4" w:space="0"/>
              <w:right w:val="nil"/>
            </w:tcBorders>
            <w:shd w:val="clear" w:color="auto" w:fill="FFFFFF"/>
            <w:vAlign w:val="center"/>
          </w:tcPr>
          <w:p w14:paraId="2419C345">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Knowledge points</w:t>
            </w:r>
          </w:p>
        </w:tc>
        <w:tc>
          <w:tcPr>
            <w:tcW w:w="2554" w:type="pct"/>
            <w:tcBorders>
              <w:top w:val="single" w:color="000000" w:sz="12" w:space="0"/>
              <w:left w:val="nil"/>
              <w:bottom w:val="single" w:color="000000" w:sz="4" w:space="0"/>
              <w:right w:val="nil"/>
            </w:tcBorders>
            <w:shd w:val="clear" w:color="auto" w:fill="FFFFFF"/>
            <w:vAlign w:val="center"/>
          </w:tcPr>
          <w:p w14:paraId="580CEB8A">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 xml:space="preserve">Integrated </w:t>
            </w:r>
            <w:r>
              <w:rPr>
                <w:rFonts w:hint="eastAsia" w:ascii="Times New Roman" w:hAnsi="Times New Roman" w:eastAsia="宋体" w:cs="Times New Roman"/>
                <w:bCs/>
                <w:color w:val="000000"/>
                <w:szCs w:val="21"/>
                <w:lang w:val="en-US" w:eastAsia="zh-CN"/>
              </w:rPr>
              <w:t>a</w:t>
            </w:r>
            <w:r>
              <w:rPr>
                <w:rFonts w:hint="eastAsia" w:ascii="Times New Roman" w:hAnsi="Times New Roman" w:eastAsia="宋体" w:cs="Times New Roman"/>
                <w:bCs/>
                <w:color w:val="000000"/>
                <w:szCs w:val="21"/>
              </w:rPr>
              <w:t xml:space="preserve">pplication of </w:t>
            </w:r>
            <w:r>
              <w:rPr>
                <w:rFonts w:hint="eastAsia" w:ascii="Times New Roman" w:hAnsi="Times New Roman" w:eastAsia="宋体" w:cs="Times New Roman"/>
                <w:bCs/>
                <w:color w:val="000000"/>
                <w:szCs w:val="21"/>
                <w:lang w:val="en-US" w:eastAsia="zh-CN"/>
              </w:rPr>
              <w:t>a</w:t>
            </w:r>
            <w:r>
              <w:rPr>
                <w:rFonts w:hint="eastAsia" w:ascii="Times New Roman" w:hAnsi="Times New Roman" w:eastAsia="宋体" w:cs="Times New Roman"/>
                <w:bCs/>
                <w:color w:val="000000"/>
                <w:szCs w:val="21"/>
              </w:rPr>
              <w:t xml:space="preserve">rt </w:t>
            </w:r>
            <w:r>
              <w:rPr>
                <w:rFonts w:hint="eastAsia" w:ascii="Times New Roman" w:hAnsi="Times New Roman" w:eastAsia="宋体" w:cs="Times New Roman"/>
                <w:bCs/>
                <w:color w:val="000000"/>
                <w:szCs w:val="21"/>
                <w:lang w:val="en-US" w:eastAsia="zh-CN"/>
              </w:rPr>
              <w:t>d</w:t>
            </w:r>
            <w:r>
              <w:rPr>
                <w:rFonts w:hint="eastAsia" w:ascii="Times New Roman" w:hAnsi="Times New Roman" w:eastAsia="宋体" w:cs="Times New Roman"/>
                <w:bCs/>
                <w:color w:val="000000"/>
                <w:szCs w:val="21"/>
              </w:rPr>
              <w:t>rawing</w:t>
            </w:r>
          </w:p>
        </w:tc>
      </w:tr>
      <w:tr w14:paraId="79F2F91C">
        <w:tblPrEx>
          <w:tblCellMar>
            <w:top w:w="0" w:type="dxa"/>
            <w:left w:w="108" w:type="dxa"/>
            <w:bottom w:w="0" w:type="dxa"/>
            <w:right w:w="108" w:type="dxa"/>
          </w:tblCellMar>
        </w:tblPrEx>
        <w:trPr>
          <w:trHeight w:val="570" w:hRule="atLeast"/>
        </w:trPr>
        <w:tc>
          <w:tcPr>
            <w:tcW w:w="985" w:type="pct"/>
            <w:tcBorders>
              <w:top w:val="single" w:color="000000" w:sz="4" w:space="0"/>
              <w:left w:val="nil"/>
              <w:bottom w:val="nil"/>
              <w:right w:val="nil"/>
            </w:tcBorders>
            <w:shd w:val="clear" w:color="auto" w:fill="FFFFFF"/>
            <w:vAlign w:val="center"/>
          </w:tcPr>
          <w:p w14:paraId="7DF2D4CB">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Bridge-in (B): Stimulate interest and lay a foundation for the content</w:t>
            </w:r>
          </w:p>
        </w:tc>
        <w:tc>
          <w:tcPr>
            <w:tcW w:w="704" w:type="pct"/>
            <w:tcBorders>
              <w:top w:val="single" w:color="000000" w:sz="4" w:space="0"/>
              <w:left w:val="nil"/>
              <w:bottom w:val="nil"/>
              <w:right w:val="nil"/>
            </w:tcBorders>
            <w:shd w:val="clear" w:color="auto" w:fill="FFFFFF"/>
            <w:vAlign w:val="center"/>
          </w:tcPr>
          <w:p w14:paraId="69907143">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 xml:space="preserve">Adaptation, </w:t>
            </w:r>
            <w:r>
              <w:rPr>
                <w:rFonts w:hint="eastAsia" w:ascii="Times New Roman" w:hAnsi="Times New Roman" w:eastAsia="宋体" w:cs="Times New Roman"/>
                <w:color w:val="000000"/>
                <w:szCs w:val="21"/>
                <w:lang w:val="en-US" w:eastAsia="zh-CN"/>
              </w:rPr>
              <w:t>i</w:t>
            </w:r>
            <w:r>
              <w:rPr>
                <w:rFonts w:hint="eastAsia" w:ascii="Times New Roman" w:hAnsi="Times New Roman" w:eastAsia="宋体" w:cs="Times New Roman"/>
                <w:color w:val="000000"/>
                <w:szCs w:val="21"/>
              </w:rPr>
              <w:t xml:space="preserve">njury and </w:t>
            </w:r>
            <w:r>
              <w:rPr>
                <w:rFonts w:hint="eastAsia" w:ascii="Times New Roman" w:hAnsi="Times New Roman" w:eastAsia="宋体" w:cs="Times New Roman"/>
                <w:color w:val="000000"/>
                <w:szCs w:val="21"/>
                <w:lang w:val="en-US" w:eastAsia="zh-CN"/>
              </w:rPr>
              <w:t>r</w:t>
            </w:r>
            <w:r>
              <w:rPr>
                <w:rFonts w:hint="eastAsia" w:ascii="Times New Roman" w:hAnsi="Times New Roman" w:eastAsia="宋体" w:cs="Times New Roman"/>
                <w:color w:val="000000"/>
                <w:szCs w:val="21"/>
              </w:rPr>
              <w:t xml:space="preserve">epair of </w:t>
            </w:r>
            <w:r>
              <w:rPr>
                <w:rFonts w:hint="eastAsia" w:ascii="Times New Roman" w:hAnsi="Times New Roman" w:eastAsia="宋体" w:cs="Times New Roman"/>
                <w:color w:val="000000"/>
                <w:szCs w:val="21"/>
                <w:lang w:val="en-US" w:eastAsia="zh-CN"/>
              </w:rPr>
              <w:t>t</w:t>
            </w:r>
            <w:r>
              <w:rPr>
                <w:rFonts w:hint="eastAsia" w:ascii="Times New Roman" w:hAnsi="Times New Roman" w:eastAsia="宋体" w:cs="Times New Roman"/>
                <w:color w:val="000000"/>
                <w:szCs w:val="21"/>
              </w:rPr>
              <w:t xml:space="preserve">issues and </w:t>
            </w:r>
            <w:r>
              <w:rPr>
                <w:rFonts w:hint="eastAsia" w:ascii="Times New Roman" w:hAnsi="Times New Roman" w:eastAsia="宋体" w:cs="Times New Roman"/>
                <w:color w:val="000000"/>
                <w:szCs w:val="21"/>
                <w:lang w:val="en-US" w:eastAsia="zh-CN"/>
              </w:rPr>
              <w:t>c</w:t>
            </w:r>
            <w:r>
              <w:rPr>
                <w:rFonts w:hint="eastAsia" w:ascii="Times New Roman" w:hAnsi="Times New Roman" w:eastAsia="宋体" w:cs="Times New Roman"/>
                <w:color w:val="000000"/>
                <w:szCs w:val="21"/>
              </w:rPr>
              <w:t>ells</w:t>
            </w:r>
          </w:p>
        </w:tc>
        <w:tc>
          <w:tcPr>
            <w:tcW w:w="754" w:type="pct"/>
            <w:tcBorders>
              <w:top w:val="single" w:color="000000" w:sz="4" w:space="0"/>
              <w:left w:val="nil"/>
              <w:bottom w:val="nil"/>
              <w:right w:val="nil"/>
            </w:tcBorders>
            <w:shd w:val="clear" w:color="auto" w:fill="FFFFFF"/>
            <w:vAlign w:val="center"/>
          </w:tcPr>
          <w:p w14:paraId="7552A019">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Granulation tissue</w:t>
            </w:r>
          </w:p>
        </w:tc>
        <w:tc>
          <w:tcPr>
            <w:tcW w:w="2554" w:type="pct"/>
            <w:tcBorders>
              <w:top w:val="single" w:color="000000" w:sz="4" w:space="0"/>
              <w:left w:val="nil"/>
              <w:bottom w:val="nil"/>
              <w:right w:val="nil"/>
            </w:tcBorders>
            <w:shd w:val="clear" w:color="auto" w:fill="FFFFFF"/>
            <w:vAlign w:val="center"/>
          </w:tcPr>
          <w:p w14:paraId="5DF4C4D9">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Introduce the knowledge point of tissue injury with the introduction of drawing works of common clinical surgical traumas</w:t>
            </w:r>
          </w:p>
        </w:tc>
      </w:tr>
      <w:tr w14:paraId="6FE87C4B">
        <w:tblPrEx>
          <w:tblCellMar>
            <w:top w:w="0" w:type="dxa"/>
            <w:left w:w="108" w:type="dxa"/>
            <w:bottom w:w="0" w:type="dxa"/>
            <w:right w:w="108" w:type="dxa"/>
          </w:tblCellMar>
        </w:tblPrEx>
        <w:trPr>
          <w:trHeight w:val="570" w:hRule="atLeast"/>
        </w:trPr>
        <w:tc>
          <w:tcPr>
            <w:tcW w:w="985" w:type="pct"/>
            <w:tcBorders>
              <w:top w:val="nil"/>
              <w:left w:val="nil"/>
              <w:bottom w:val="nil"/>
              <w:right w:val="nil"/>
            </w:tcBorders>
            <w:shd w:val="clear" w:color="auto" w:fill="FFFFFF"/>
            <w:vAlign w:val="center"/>
          </w:tcPr>
          <w:p w14:paraId="4A641694">
            <w:pPr>
              <w:jc w:val="center"/>
              <w:rPr>
                <w:rFonts w:ascii="Times New Roman" w:hAnsi="Times New Roman" w:eastAsia="宋体" w:cs="Times New Roman"/>
                <w:color w:val="000000"/>
                <w:szCs w:val="21"/>
              </w:rPr>
            </w:pPr>
          </w:p>
        </w:tc>
        <w:tc>
          <w:tcPr>
            <w:tcW w:w="704" w:type="pct"/>
            <w:tcBorders>
              <w:top w:val="nil"/>
              <w:left w:val="nil"/>
              <w:bottom w:val="nil"/>
              <w:right w:val="nil"/>
            </w:tcBorders>
            <w:shd w:val="clear" w:color="auto" w:fill="FFFFFF"/>
            <w:vAlign w:val="center"/>
          </w:tcPr>
          <w:p w14:paraId="7EB48E64">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 xml:space="preserve">Disorders of </w:t>
            </w:r>
            <w:r>
              <w:rPr>
                <w:rFonts w:hint="eastAsia" w:ascii="Times New Roman" w:hAnsi="Times New Roman" w:eastAsia="宋体" w:cs="Times New Roman"/>
                <w:color w:val="000000"/>
                <w:szCs w:val="21"/>
                <w:lang w:val="en-US" w:eastAsia="zh-CN"/>
              </w:rPr>
              <w:t>l</w:t>
            </w:r>
            <w:r>
              <w:rPr>
                <w:rFonts w:hint="eastAsia" w:ascii="Times New Roman" w:hAnsi="Times New Roman" w:eastAsia="宋体" w:cs="Times New Roman"/>
                <w:color w:val="000000"/>
                <w:szCs w:val="21"/>
              </w:rPr>
              <w:t xml:space="preserve">ocal </w:t>
            </w:r>
            <w:r>
              <w:rPr>
                <w:rFonts w:hint="eastAsia" w:ascii="Times New Roman" w:hAnsi="Times New Roman" w:eastAsia="宋体" w:cs="Times New Roman"/>
                <w:color w:val="000000"/>
                <w:szCs w:val="21"/>
                <w:lang w:val="en-US" w:eastAsia="zh-CN"/>
              </w:rPr>
              <w:t>b</w:t>
            </w:r>
            <w:r>
              <w:rPr>
                <w:rFonts w:hint="eastAsia" w:ascii="Times New Roman" w:hAnsi="Times New Roman" w:eastAsia="宋体" w:cs="Times New Roman"/>
                <w:color w:val="000000"/>
                <w:szCs w:val="21"/>
              </w:rPr>
              <w:t xml:space="preserve">lood </w:t>
            </w:r>
            <w:r>
              <w:rPr>
                <w:rFonts w:hint="eastAsia" w:ascii="Times New Roman" w:hAnsi="Times New Roman" w:eastAsia="宋体" w:cs="Times New Roman"/>
                <w:color w:val="000000"/>
                <w:szCs w:val="21"/>
                <w:lang w:val="en-US" w:eastAsia="zh-CN"/>
              </w:rPr>
              <w:t>c</w:t>
            </w:r>
            <w:r>
              <w:rPr>
                <w:rFonts w:hint="eastAsia" w:ascii="Times New Roman" w:hAnsi="Times New Roman" w:eastAsia="宋体" w:cs="Times New Roman"/>
                <w:color w:val="000000"/>
                <w:szCs w:val="21"/>
              </w:rPr>
              <w:t>irculation</w:t>
            </w:r>
          </w:p>
        </w:tc>
        <w:tc>
          <w:tcPr>
            <w:tcW w:w="754" w:type="pct"/>
            <w:tcBorders>
              <w:top w:val="nil"/>
              <w:left w:val="nil"/>
              <w:bottom w:val="nil"/>
              <w:right w:val="nil"/>
            </w:tcBorders>
            <w:shd w:val="clear" w:color="auto" w:fill="FFFFFF"/>
            <w:vAlign w:val="center"/>
          </w:tcPr>
          <w:p w14:paraId="3248634E">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Conditions and processes of thrombosis</w:t>
            </w:r>
          </w:p>
        </w:tc>
        <w:tc>
          <w:tcPr>
            <w:tcW w:w="2554" w:type="pct"/>
            <w:tcBorders>
              <w:top w:val="nil"/>
              <w:left w:val="nil"/>
              <w:bottom w:val="nil"/>
              <w:right w:val="nil"/>
            </w:tcBorders>
            <w:shd w:val="clear" w:color="auto" w:fill="FFFFFF"/>
            <w:vAlign w:val="center"/>
          </w:tcPr>
          <w:p w14:paraId="7EA7632B">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Introduce by analogizing the process of thrombosis with the drawing of the daily phenomenon of "silt formation in a stream"</w:t>
            </w:r>
          </w:p>
        </w:tc>
      </w:tr>
      <w:tr w14:paraId="01943F4D">
        <w:tblPrEx>
          <w:tblCellMar>
            <w:top w:w="0" w:type="dxa"/>
            <w:left w:w="108" w:type="dxa"/>
            <w:bottom w:w="0" w:type="dxa"/>
            <w:right w:w="108" w:type="dxa"/>
          </w:tblCellMar>
        </w:tblPrEx>
        <w:trPr>
          <w:trHeight w:val="715" w:hRule="atLeast"/>
        </w:trPr>
        <w:tc>
          <w:tcPr>
            <w:tcW w:w="985" w:type="pct"/>
            <w:tcBorders>
              <w:top w:val="nil"/>
              <w:left w:val="nil"/>
              <w:bottom w:val="nil"/>
              <w:right w:val="nil"/>
            </w:tcBorders>
            <w:shd w:val="clear" w:color="auto" w:fill="FFFFFF"/>
            <w:vAlign w:val="center"/>
          </w:tcPr>
          <w:p w14:paraId="4207CF21">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Pre-assessment (P): Assess students' current status and clarify learning objectives</w:t>
            </w:r>
          </w:p>
        </w:tc>
        <w:tc>
          <w:tcPr>
            <w:tcW w:w="704" w:type="pct"/>
            <w:tcBorders>
              <w:top w:val="nil"/>
              <w:left w:val="nil"/>
              <w:bottom w:val="nil"/>
              <w:right w:val="nil"/>
            </w:tcBorders>
            <w:shd w:val="clear" w:color="auto" w:fill="FFFFFF"/>
            <w:vAlign w:val="center"/>
          </w:tcPr>
          <w:p w14:paraId="74C2CCBE">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Inflammation</w:t>
            </w:r>
          </w:p>
        </w:tc>
        <w:tc>
          <w:tcPr>
            <w:tcW w:w="754" w:type="pct"/>
            <w:tcBorders>
              <w:top w:val="nil"/>
              <w:left w:val="nil"/>
              <w:bottom w:val="nil"/>
              <w:right w:val="nil"/>
            </w:tcBorders>
            <w:shd w:val="clear" w:color="auto" w:fill="FFFFFF"/>
            <w:vAlign w:val="center"/>
          </w:tcPr>
          <w:p w14:paraId="75B15608">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Characteristics of various types of inflammation</w:t>
            </w:r>
          </w:p>
        </w:tc>
        <w:tc>
          <w:tcPr>
            <w:tcW w:w="2554" w:type="pct"/>
            <w:tcBorders>
              <w:top w:val="nil"/>
              <w:left w:val="nil"/>
              <w:bottom w:val="nil"/>
              <w:right w:val="nil"/>
            </w:tcBorders>
            <w:shd w:val="clear" w:color="auto" w:fill="FFFFFF"/>
            <w:vAlign w:val="center"/>
          </w:tcPr>
          <w:p w14:paraId="6727BB31">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Assign small quizzes for students to judge inflammation types by combining drawings of various common inflammations in daily life; the quizzes are released to the class through the online learning platform "StudyLink"</w:t>
            </w:r>
          </w:p>
        </w:tc>
      </w:tr>
      <w:tr w14:paraId="67D63E91">
        <w:tblPrEx>
          <w:tblCellMar>
            <w:top w:w="0" w:type="dxa"/>
            <w:left w:w="108" w:type="dxa"/>
            <w:bottom w:w="0" w:type="dxa"/>
            <w:right w:w="108" w:type="dxa"/>
          </w:tblCellMar>
        </w:tblPrEx>
        <w:trPr>
          <w:trHeight w:val="1041" w:hRule="atLeast"/>
        </w:trPr>
        <w:tc>
          <w:tcPr>
            <w:tcW w:w="985" w:type="pct"/>
            <w:tcBorders>
              <w:top w:val="nil"/>
              <w:left w:val="nil"/>
              <w:bottom w:val="nil"/>
              <w:right w:val="nil"/>
            </w:tcBorders>
            <w:shd w:val="clear" w:color="auto" w:fill="FFFFFF"/>
            <w:vAlign w:val="center"/>
          </w:tcPr>
          <w:p w14:paraId="695DA1DF">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Participatory Learning (P): Teacher-student interaction and active participation in learning</w:t>
            </w:r>
          </w:p>
        </w:tc>
        <w:tc>
          <w:tcPr>
            <w:tcW w:w="704" w:type="pct"/>
            <w:tcBorders>
              <w:top w:val="nil"/>
              <w:left w:val="nil"/>
              <w:bottom w:val="nil"/>
              <w:right w:val="nil"/>
            </w:tcBorders>
            <w:shd w:val="clear" w:color="auto" w:fill="FFFFFF"/>
            <w:vAlign w:val="center"/>
          </w:tcPr>
          <w:p w14:paraId="2AB419B9">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Inflammation</w:t>
            </w:r>
          </w:p>
        </w:tc>
        <w:tc>
          <w:tcPr>
            <w:tcW w:w="754" w:type="pct"/>
            <w:tcBorders>
              <w:top w:val="nil"/>
              <w:left w:val="nil"/>
              <w:bottom w:val="nil"/>
              <w:right w:val="nil"/>
            </w:tcBorders>
            <w:shd w:val="clear" w:color="auto" w:fill="FFFFFF"/>
            <w:vAlign w:val="center"/>
          </w:tcPr>
          <w:p w14:paraId="7B4A3925">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Basic pathological changes of inflammation</w:t>
            </w:r>
          </w:p>
        </w:tc>
        <w:tc>
          <w:tcPr>
            <w:tcW w:w="2554" w:type="pct"/>
            <w:tcBorders>
              <w:top w:val="nil"/>
              <w:left w:val="nil"/>
              <w:bottom w:val="nil"/>
              <w:right w:val="nil"/>
            </w:tcBorders>
            <w:shd w:val="clear" w:color="auto" w:fill="FFFFFF"/>
            <w:vAlign w:val="center"/>
          </w:tcPr>
          <w:p w14:paraId="5CDCACEA">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Students use their imagination to draw the process of leukocyte extravasation and phagocytosis in inflammation as an intense scene of "soldiers fighting enemies on the battlefield", and then narrate stories based on the drawings to explain the inflammatory process, thus carrying out teacher-student interactive and participatory learning</w:t>
            </w:r>
          </w:p>
        </w:tc>
      </w:tr>
      <w:tr w14:paraId="786ADC4A">
        <w:tblPrEx>
          <w:tblCellMar>
            <w:top w:w="0" w:type="dxa"/>
            <w:left w:w="108" w:type="dxa"/>
            <w:bottom w:w="0" w:type="dxa"/>
            <w:right w:w="108" w:type="dxa"/>
          </w:tblCellMar>
        </w:tblPrEx>
        <w:trPr>
          <w:trHeight w:val="506" w:hRule="atLeast"/>
        </w:trPr>
        <w:tc>
          <w:tcPr>
            <w:tcW w:w="985" w:type="pct"/>
            <w:tcBorders>
              <w:top w:val="nil"/>
              <w:left w:val="nil"/>
              <w:bottom w:val="nil"/>
              <w:right w:val="nil"/>
            </w:tcBorders>
            <w:shd w:val="clear" w:color="auto" w:fill="FFFFFF"/>
            <w:vAlign w:val="center"/>
          </w:tcPr>
          <w:p w14:paraId="20AFD98A">
            <w:pPr>
              <w:jc w:val="center"/>
              <w:rPr>
                <w:rFonts w:ascii="Times New Roman" w:hAnsi="Times New Roman" w:eastAsia="宋体" w:cs="Times New Roman"/>
                <w:color w:val="000000"/>
                <w:szCs w:val="21"/>
              </w:rPr>
            </w:pPr>
          </w:p>
        </w:tc>
        <w:tc>
          <w:tcPr>
            <w:tcW w:w="704" w:type="pct"/>
            <w:tcBorders>
              <w:top w:val="nil"/>
              <w:left w:val="nil"/>
              <w:bottom w:val="nil"/>
              <w:right w:val="nil"/>
            </w:tcBorders>
            <w:shd w:val="clear" w:color="auto" w:fill="FFFFFF"/>
            <w:vAlign w:val="center"/>
          </w:tcPr>
          <w:p w14:paraId="7E3D5262">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Tumor</w:t>
            </w:r>
          </w:p>
        </w:tc>
        <w:tc>
          <w:tcPr>
            <w:tcW w:w="754" w:type="pct"/>
            <w:tcBorders>
              <w:top w:val="nil"/>
              <w:left w:val="nil"/>
              <w:bottom w:val="nil"/>
              <w:right w:val="nil"/>
            </w:tcBorders>
            <w:shd w:val="clear" w:color="auto" w:fill="FFFFFF"/>
            <w:vAlign w:val="center"/>
          </w:tcPr>
          <w:p w14:paraId="7A32C7A3">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Pathological characteristics of squamous cell carcinoma</w:t>
            </w:r>
          </w:p>
        </w:tc>
        <w:tc>
          <w:tcPr>
            <w:tcW w:w="2554" w:type="pct"/>
            <w:tcBorders>
              <w:top w:val="nil"/>
              <w:left w:val="nil"/>
              <w:bottom w:val="nil"/>
              <w:right w:val="nil"/>
            </w:tcBorders>
            <w:shd w:val="clear" w:color="auto" w:fill="FFFFFF"/>
            <w:vAlign w:val="center"/>
          </w:tcPr>
          <w:p w14:paraId="417B1E31">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Inspire inspiration from world famous paintings, capture pathological features for integration and creative processing, and explain the implied meanings and characteristics of the works based on the drawings</w:t>
            </w:r>
          </w:p>
        </w:tc>
      </w:tr>
      <w:tr w14:paraId="1FD04925">
        <w:tblPrEx>
          <w:tblCellMar>
            <w:top w:w="0" w:type="dxa"/>
            <w:left w:w="108" w:type="dxa"/>
            <w:bottom w:w="0" w:type="dxa"/>
            <w:right w:w="108" w:type="dxa"/>
          </w:tblCellMar>
        </w:tblPrEx>
        <w:trPr>
          <w:trHeight w:val="929" w:hRule="atLeast"/>
        </w:trPr>
        <w:tc>
          <w:tcPr>
            <w:tcW w:w="985" w:type="pct"/>
            <w:tcBorders>
              <w:top w:val="nil"/>
              <w:left w:val="nil"/>
              <w:bottom w:val="nil"/>
              <w:right w:val="nil"/>
            </w:tcBorders>
            <w:shd w:val="clear" w:color="auto" w:fill="FFFFFF"/>
            <w:vAlign w:val="center"/>
          </w:tcPr>
          <w:p w14:paraId="0C91666D">
            <w:pPr>
              <w:jc w:val="center"/>
              <w:rPr>
                <w:rFonts w:ascii="Times New Roman" w:hAnsi="Times New Roman" w:eastAsia="宋体" w:cs="Times New Roman"/>
                <w:color w:val="000000"/>
                <w:szCs w:val="21"/>
              </w:rPr>
            </w:pPr>
          </w:p>
        </w:tc>
        <w:tc>
          <w:tcPr>
            <w:tcW w:w="704" w:type="pct"/>
            <w:tcBorders>
              <w:top w:val="nil"/>
              <w:left w:val="nil"/>
              <w:bottom w:val="nil"/>
              <w:right w:val="nil"/>
            </w:tcBorders>
            <w:shd w:val="clear" w:color="auto" w:fill="FFFFFF"/>
            <w:vAlign w:val="center"/>
          </w:tcPr>
          <w:p w14:paraId="6F9CC249">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 xml:space="preserve">Diseases of the </w:t>
            </w:r>
            <w:r>
              <w:rPr>
                <w:rFonts w:hint="eastAsia" w:ascii="Times New Roman" w:hAnsi="Times New Roman" w:eastAsia="宋体" w:cs="Times New Roman"/>
                <w:color w:val="000000"/>
                <w:szCs w:val="21"/>
                <w:lang w:val="en-US" w:eastAsia="zh-CN"/>
              </w:rPr>
              <w:t>c</w:t>
            </w:r>
            <w:r>
              <w:rPr>
                <w:rFonts w:hint="eastAsia" w:ascii="Times New Roman" w:hAnsi="Times New Roman" w:eastAsia="宋体" w:cs="Times New Roman"/>
                <w:color w:val="000000"/>
                <w:szCs w:val="21"/>
              </w:rPr>
              <w:t xml:space="preserve">ardiovascular </w:t>
            </w:r>
            <w:r>
              <w:rPr>
                <w:rFonts w:hint="eastAsia" w:ascii="Times New Roman" w:hAnsi="Times New Roman" w:eastAsia="宋体" w:cs="Times New Roman"/>
                <w:color w:val="000000"/>
                <w:szCs w:val="21"/>
                <w:lang w:val="en-US" w:eastAsia="zh-CN"/>
              </w:rPr>
              <w:t>s</w:t>
            </w:r>
            <w:r>
              <w:rPr>
                <w:rFonts w:hint="eastAsia" w:ascii="Times New Roman" w:hAnsi="Times New Roman" w:eastAsia="宋体" w:cs="Times New Roman"/>
                <w:color w:val="000000"/>
                <w:szCs w:val="21"/>
              </w:rPr>
              <w:t>ystem</w:t>
            </w:r>
          </w:p>
        </w:tc>
        <w:tc>
          <w:tcPr>
            <w:tcW w:w="754" w:type="pct"/>
            <w:tcBorders>
              <w:top w:val="nil"/>
              <w:left w:val="nil"/>
              <w:bottom w:val="nil"/>
              <w:right w:val="nil"/>
            </w:tcBorders>
            <w:shd w:val="clear" w:color="auto" w:fill="FFFFFF"/>
            <w:vAlign w:val="center"/>
          </w:tcPr>
          <w:p w14:paraId="6E016DA4">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Pathological stages of atherosclerosis</w:t>
            </w:r>
          </w:p>
        </w:tc>
        <w:tc>
          <w:tcPr>
            <w:tcW w:w="2554" w:type="pct"/>
            <w:tcBorders>
              <w:top w:val="nil"/>
              <w:left w:val="nil"/>
              <w:bottom w:val="nil"/>
              <w:right w:val="nil"/>
            </w:tcBorders>
            <w:shd w:val="clear" w:color="auto" w:fill="FFFFFF"/>
            <w:vAlign w:val="center"/>
          </w:tcPr>
          <w:p w14:paraId="0DE0E702">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Students create dynamic serial drawings based on the characteristics of several typical pathological stages in the development of vascular lesions, integrate stories of myocardial infarction onset to explain the progression and impacts of the lesions, and advocate the nursing philosophy of "Benevolent doctors with benevolence, caring for and comforting the injured"</w:t>
            </w:r>
          </w:p>
        </w:tc>
      </w:tr>
      <w:tr w14:paraId="230EF90E">
        <w:tblPrEx>
          <w:tblCellMar>
            <w:top w:w="0" w:type="dxa"/>
            <w:left w:w="108" w:type="dxa"/>
            <w:bottom w:w="0" w:type="dxa"/>
            <w:right w:w="108" w:type="dxa"/>
          </w:tblCellMar>
        </w:tblPrEx>
        <w:trPr>
          <w:trHeight w:val="843" w:hRule="atLeast"/>
        </w:trPr>
        <w:tc>
          <w:tcPr>
            <w:tcW w:w="985" w:type="pct"/>
            <w:tcBorders>
              <w:top w:val="nil"/>
              <w:left w:val="nil"/>
              <w:bottom w:val="nil"/>
              <w:right w:val="nil"/>
            </w:tcBorders>
            <w:shd w:val="clear" w:color="auto" w:fill="FFFFFF"/>
            <w:vAlign w:val="center"/>
          </w:tcPr>
          <w:p w14:paraId="0FA3072D">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Post-assessment (P): Conduct tests to evaluate learning effectiveness</w:t>
            </w:r>
          </w:p>
        </w:tc>
        <w:tc>
          <w:tcPr>
            <w:tcW w:w="704" w:type="pct"/>
            <w:tcBorders>
              <w:top w:val="nil"/>
              <w:left w:val="nil"/>
              <w:bottom w:val="nil"/>
              <w:right w:val="nil"/>
            </w:tcBorders>
            <w:shd w:val="clear" w:color="auto" w:fill="FFFFFF"/>
            <w:vAlign w:val="center"/>
          </w:tcPr>
          <w:p w14:paraId="650BFB6A">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 xml:space="preserve">Diseases of the </w:t>
            </w:r>
            <w:r>
              <w:rPr>
                <w:rFonts w:hint="eastAsia" w:ascii="Times New Roman" w:hAnsi="Times New Roman" w:eastAsia="宋体" w:cs="Times New Roman"/>
                <w:color w:val="000000"/>
                <w:szCs w:val="21"/>
                <w:lang w:val="en-US" w:eastAsia="zh-CN"/>
              </w:rPr>
              <w:t>d</w:t>
            </w:r>
            <w:r>
              <w:rPr>
                <w:rFonts w:hint="eastAsia" w:ascii="Times New Roman" w:hAnsi="Times New Roman" w:eastAsia="宋体" w:cs="Times New Roman"/>
                <w:color w:val="000000"/>
                <w:szCs w:val="21"/>
              </w:rPr>
              <w:t xml:space="preserve">igestive </w:t>
            </w:r>
            <w:r>
              <w:rPr>
                <w:rFonts w:hint="eastAsia" w:ascii="Times New Roman" w:hAnsi="Times New Roman" w:eastAsia="宋体" w:cs="Times New Roman"/>
                <w:color w:val="000000"/>
                <w:szCs w:val="21"/>
                <w:lang w:val="en-US" w:eastAsia="zh-CN"/>
              </w:rPr>
              <w:t>s</w:t>
            </w:r>
            <w:r>
              <w:rPr>
                <w:rFonts w:hint="eastAsia" w:ascii="Times New Roman" w:hAnsi="Times New Roman" w:eastAsia="宋体" w:cs="Times New Roman"/>
                <w:color w:val="000000"/>
                <w:szCs w:val="21"/>
              </w:rPr>
              <w:t>ystem</w:t>
            </w:r>
          </w:p>
        </w:tc>
        <w:tc>
          <w:tcPr>
            <w:tcW w:w="754" w:type="pct"/>
            <w:tcBorders>
              <w:top w:val="nil"/>
              <w:left w:val="nil"/>
              <w:bottom w:val="nil"/>
              <w:right w:val="nil"/>
            </w:tcBorders>
            <w:shd w:val="clear" w:color="auto" w:fill="FFFFFF"/>
            <w:vAlign w:val="center"/>
          </w:tcPr>
          <w:p w14:paraId="6439A889">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Pathological progression of chronic liver disease</w:t>
            </w:r>
          </w:p>
        </w:tc>
        <w:tc>
          <w:tcPr>
            <w:tcW w:w="2554" w:type="pct"/>
            <w:tcBorders>
              <w:top w:val="nil"/>
              <w:left w:val="nil"/>
              <w:bottom w:val="nil"/>
              <w:right w:val="nil"/>
            </w:tcBorders>
            <w:shd w:val="clear" w:color="auto" w:fill="FFFFFF"/>
            <w:vAlign w:val="center"/>
          </w:tcPr>
          <w:p w14:paraId="3243E597">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Display artistic drawings of the microscopic views of hepatitis, liver cirrhosis and liver cancer in the test for students to identify and distinguish</w:t>
            </w:r>
          </w:p>
        </w:tc>
      </w:tr>
      <w:tr w14:paraId="10451BB1">
        <w:tblPrEx>
          <w:tblCellMar>
            <w:top w:w="0" w:type="dxa"/>
            <w:left w:w="108" w:type="dxa"/>
            <w:bottom w:w="0" w:type="dxa"/>
            <w:right w:w="108" w:type="dxa"/>
          </w:tblCellMar>
        </w:tblPrEx>
        <w:trPr>
          <w:trHeight w:val="709" w:hRule="atLeast"/>
        </w:trPr>
        <w:tc>
          <w:tcPr>
            <w:tcW w:w="985" w:type="pct"/>
            <w:tcBorders>
              <w:top w:val="nil"/>
              <w:left w:val="nil"/>
              <w:bottom w:val="single" w:color="000000" w:sz="12" w:space="0"/>
              <w:right w:val="nil"/>
            </w:tcBorders>
            <w:shd w:val="clear" w:color="auto" w:fill="FFFFFF"/>
            <w:vAlign w:val="center"/>
          </w:tcPr>
          <w:p w14:paraId="6A16A61D">
            <w:pPr>
              <w:widowControl/>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Summary (S): Reflect and summarize to consolidate learning objectives.</w:t>
            </w:r>
          </w:p>
        </w:tc>
        <w:tc>
          <w:tcPr>
            <w:tcW w:w="704" w:type="pct"/>
            <w:tcBorders>
              <w:top w:val="nil"/>
              <w:left w:val="nil"/>
              <w:bottom w:val="single" w:color="000000" w:sz="12" w:space="0"/>
              <w:right w:val="nil"/>
            </w:tcBorders>
            <w:shd w:val="clear" w:color="auto" w:fill="FFFFFF"/>
            <w:vAlign w:val="center"/>
          </w:tcPr>
          <w:p w14:paraId="58A4C413">
            <w:pPr>
              <w:widowControl/>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 xml:space="preserve">Diseases of the </w:t>
            </w:r>
            <w:r>
              <w:rPr>
                <w:rFonts w:hint="eastAsia" w:ascii="Times New Roman" w:hAnsi="Times New Roman" w:eastAsia="宋体" w:cs="Times New Roman"/>
                <w:color w:val="000000"/>
                <w:szCs w:val="21"/>
                <w:lang w:val="en-US" w:eastAsia="zh-CN"/>
              </w:rPr>
              <w:t>f</w:t>
            </w:r>
            <w:r>
              <w:rPr>
                <w:rFonts w:hint="eastAsia" w:ascii="Times New Roman" w:hAnsi="Times New Roman" w:eastAsia="宋体" w:cs="Times New Roman"/>
                <w:color w:val="000000"/>
                <w:szCs w:val="21"/>
              </w:rPr>
              <w:t xml:space="preserve">emale </w:t>
            </w:r>
            <w:r>
              <w:rPr>
                <w:rFonts w:hint="eastAsia" w:ascii="Times New Roman" w:hAnsi="Times New Roman" w:eastAsia="宋体" w:cs="Times New Roman"/>
                <w:color w:val="000000"/>
                <w:szCs w:val="21"/>
                <w:lang w:val="en-US" w:eastAsia="zh-CN"/>
              </w:rPr>
              <w:t>r</w:t>
            </w:r>
            <w:r>
              <w:rPr>
                <w:rFonts w:hint="eastAsia" w:ascii="Times New Roman" w:hAnsi="Times New Roman" w:eastAsia="宋体" w:cs="Times New Roman"/>
                <w:color w:val="000000"/>
                <w:szCs w:val="21"/>
              </w:rPr>
              <w:t xml:space="preserve">eproductive </w:t>
            </w:r>
            <w:r>
              <w:rPr>
                <w:rFonts w:hint="eastAsia" w:ascii="Times New Roman" w:hAnsi="Times New Roman" w:eastAsia="宋体" w:cs="Times New Roman"/>
                <w:color w:val="000000"/>
                <w:szCs w:val="21"/>
                <w:lang w:val="en-US" w:eastAsia="zh-CN"/>
              </w:rPr>
              <w:t>s</w:t>
            </w:r>
            <w:r>
              <w:rPr>
                <w:rFonts w:hint="eastAsia" w:ascii="Times New Roman" w:hAnsi="Times New Roman" w:eastAsia="宋体" w:cs="Times New Roman"/>
                <w:color w:val="000000"/>
                <w:szCs w:val="21"/>
              </w:rPr>
              <w:t>ystem</w:t>
            </w:r>
          </w:p>
        </w:tc>
        <w:tc>
          <w:tcPr>
            <w:tcW w:w="754" w:type="pct"/>
            <w:tcBorders>
              <w:top w:val="nil"/>
              <w:left w:val="nil"/>
              <w:bottom w:val="single" w:color="000000" w:sz="12" w:space="0"/>
              <w:right w:val="nil"/>
            </w:tcBorders>
            <w:shd w:val="clear" w:color="auto" w:fill="FFFFFF"/>
            <w:vAlign w:val="center"/>
          </w:tcPr>
          <w:p w14:paraId="535846C2">
            <w:pPr>
              <w:widowControl/>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 xml:space="preserve">Pathological </w:t>
            </w:r>
            <w:r>
              <w:rPr>
                <w:rFonts w:hint="eastAsia" w:ascii="Times New Roman" w:hAnsi="Times New Roman" w:eastAsia="宋体" w:cs="Times New Roman"/>
                <w:color w:val="000000"/>
                <w:szCs w:val="21"/>
                <w:lang w:val="en-US" w:eastAsia="zh-CN"/>
              </w:rPr>
              <w:t>c</w:t>
            </w:r>
            <w:r>
              <w:rPr>
                <w:rFonts w:hint="eastAsia" w:ascii="Times New Roman" w:hAnsi="Times New Roman" w:eastAsia="宋体" w:cs="Times New Roman"/>
                <w:color w:val="000000"/>
                <w:szCs w:val="21"/>
              </w:rPr>
              <w:t xml:space="preserve">haracteristics of </w:t>
            </w:r>
            <w:r>
              <w:rPr>
                <w:rFonts w:hint="eastAsia" w:ascii="Times New Roman" w:hAnsi="Times New Roman" w:eastAsia="宋体" w:cs="Times New Roman"/>
                <w:color w:val="000000"/>
                <w:szCs w:val="21"/>
                <w:lang w:val="en-US" w:eastAsia="zh-CN"/>
              </w:rPr>
              <w:t>b</w:t>
            </w:r>
            <w:r>
              <w:rPr>
                <w:rFonts w:hint="eastAsia" w:ascii="Times New Roman" w:hAnsi="Times New Roman" w:eastAsia="宋体" w:cs="Times New Roman"/>
                <w:color w:val="000000"/>
                <w:szCs w:val="21"/>
              </w:rPr>
              <w:t xml:space="preserve">reast </w:t>
            </w:r>
            <w:r>
              <w:rPr>
                <w:rFonts w:hint="eastAsia" w:ascii="Times New Roman" w:hAnsi="Times New Roman" w:eastAsia="宋体" w:cs="Times New Roman"/>
                <w:color w:val="000000"/>
                <w:szCs w:val="21"/>
                <w:lang w:val="en-US" w:eastAsia="zh-CN"/>
              </w:rPr>
              <w:t>c</w:t>
            </w:r>
            <w:r>
              <w:rPr>
                <w:rFonts w:hint="eastAsia" w:ascii="Times New Roman" w:hAnsi="Times New Roman" w:eastAsia="宋体" w:cs="Times New Roman"/>
                <w:color w:val="000000"/>
                <w:szCs w:val="21"/>
              </w:rPr>
              <w:t>ancer</w:t>
            </w:r>
          </w:p>
        </w:tc>
        <w:tc>
          <w:tcPr>
            <w:tcW w:w="2554" w:type="pct"/>
            <w:tcBorders>
              <w:top w:val="nil"/>
              <w:left w:val="nil"/>
              <w:bottom w:val="single" w:color="000000" w:sz="12" w:space="0"/>
              <w:right w:val="nil"/>
            </w:tcBorders>
            <w:shd w:val="clear" w:color="auto" w:fill="FFFFFF"/>
            <w:vAlign w:val="center"/>
          </w:tcPr>
          <w:p w14:paraId="7BDD1EA4">
            <w:pPr>
              <w:widowControl/>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Combine the pathological characteristics of breast cancer with drawings for clinical nursing assessment, and sort out and summarize the knowledge points</w:t>
            </w:r>
          </w:p>
        </w:tc>
      </w:tr>
      <w:bookmarkEnd w:id="1"/>
    </w:tbl>
    <w:p w14:paraId="1E210BF1">
      <w:pPr>
        <w:spacing w:line="360" w:lineRule="auto"/>
        <w:jc w:val="both"/>
        <w:rPr>
          <w:rFonts w:ascii="Times New Roman" w:hAnsi="Times New Roman" w:eastAsia="宋体" w:cs="Times New Roman"/>
          <w:b w:val="0"/>
          <w:bCs w:val="0"/>
        </w:rPr>
      </w:pPr>
      <w:r>
        <w:rPr>
          <w:rFonts w:hint="eastAsia" w:ascii="Times New Roman" w:hAnsi="Times New Roman" w:eastAsia="宋体" w:cs="Times New Roman"/>
          <w:b w:val="0"/>
          <w:bCs w:val="0"/>
          <w:i/>
          <w:iCs/>
        </w:rPr>
        <w:t>Note</w:t>
      </w:r>
      <w:r>
        <w:rPr>
          <w:rFonts w:hint="eastAsia" w:ascii="Times New Roman" w:hAnsi="Times New Roman" w:eastAsia="宋体" w:cs="Times New Roman"/>
          <w:b w:val="0"/>
          <w:bCs w:val="0"/>
        </w:rPr>
        <w:t>: Objective (O), which involves outlining learning tasks and clarifying objectives, runs through each chapter.</w:t>
      </w:r>
    </w:p>
    <w:p w14:paraId="50CE127B">
      <w:pPr>
        <w:sectPr>
          <w:headerReference r:id="rId5" w:type="first"/>
          <w:footerReference r:id="rId8" w:type="first"/>
          <w:headerReference r:id="rId3" w:type="default"/>
          <w:footerReference r:id="rId6" w:type="default"/>
          <w:headerReference r:id="rId4" w:type="even"/>
          <w:footerReference r:id="rId7" w:type="even"/>
          <w:pgSz w:w="16838" w:h="11906" w:orient="landscape"/>
          <w:pgMar w:top="1800" w:right="1440" w:bottom="1800" w:left="1440" w:header="851" w:footer="992" w:gutter="0"/>
          <w:cols w:space="425" w:num="1"/>
          <w:docGrid w:type="lines" w:linePitch="312" w:charSpace="0"/>
        </w:sectPr>
      </w:pPr>
    </w:p>
    <w:p w14:paraId="02CDF81A">
      <w:pPr>
        <w:rPr>
          <w:rFonts w:hint="default" w:ascii="Times New Roman" w:hAnsi="Times New Roman" w:eastAsia="宋体" w:cs="Times New Roman"/>
          <w:b/>
          <w:bCs/>
          <w:lang w:val="en-US" w:eastAsia="zh-CN"/>
        </w:rPr>
      </w:pPr>
      <w:r>
        <w:rPr>
          <w:rFonts w:hint="eastAsia" w:ascii="Times New Roman" w:hAnsi="Times New Roman" w:eastAsia="宋体" w:cs="Times New Roman"/>
          <w:b/>
          <w:bCs/>
        </w:rPr>
        <w:t>Supplementary File</w:t>
      </w:r>
      <w:r>
        <w:rPr>
          <w:rFonts w:hint="eastAsia" w:ascii="Times New Roman" w:hAnsi="Times New Roman" w:eastAsia="宋体" w:cs="Times New Roman"/>
          <w:b/>
          <w:bCs/>
          <w:lang w:val="en-US" w:eastAsia="zh-CN"/>
        </w:rPr>
        <w:t>.</w:t>
      </w:r>
      <w:r>
        <w:rPr>
          <w:rFonts w:hint="eastAsia" w:ascii="Times New Roman" w:hAnsi="Times New Roman" w:eastAsia="宋体" w:cs="Times New Roman"/>
          <w:b/>
          <w:bCs/>
        </w:rPr>
        <w:t xml:space="preserve"> </w:t>
      </w:r>
      <w:r>
        <w:rPr>
          <w:rFonts w:hint="eastAsia" w:ascii="Times New Roman" w:hAnsi="Times New Roman" w:eastAsia="宋体" w:cs="Times New Roman"/>
          <w:b/>
          <w:bCs/>
          <w:lang w:val="en-US" w:eastAsia="zh-CN"/>
        </w:rPr>
        <w:t>2: Display of students' works.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4BDA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trPr>
        <w:tc>
          <w:tcPr>
            <w:tcW w:w="7087" w:type="dxa"/>
            <w:vAlign w:val="top"/>
          </w:tcPr>
          <w:p w14:paraId="28B28563">
            <w:pPr>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3933825" cy="4559300"/>
                  <wp:effectExtent l="0" t="0" r="13335" b="12700"/>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10"/>
                          <a:stretch>
                            <a:fillRect/>
                          </a:stretch>
                        </pic:blipFill>
                        <pic:spPr>
                          <a:xfrm>
                            <a:off x="0" y="0"/>
                            <a:ext cx="3933825" cy="4559300"/>
                          </a:xfrm>
                          <a:prstGeom prst="rect">
                            <a:avLst/>
                          </a:prstGeom>
                        </pic:spPr>
                      </pic:pic>
                    </a:graphicData>
                  </a:graphic>
                </wp:inline>
              </w:drawing>
            </w:r>
          </w:p>
        </w:tc>
        <w:tc>
          <w:tcPr>
            <w:tcW w:w="7087" w:type="dxa"/>
            <w:vAlign w:val="top"/>
          </w:tcPr>
          <w:p w14:paraId="5D484D91">
            <w:pPr>
              <w:jc w:val="center"/>
              <w:rPr>
                <w:rFonts w:hint="eastAsia" w:eastAsiaTheme="minorEastAsia"/>
                <w:vertAlign w:val="baseline"/>
                <w:lang w:eastAsia="zh-CN"/>
              </w:rPr>
            </w:pPr>
            <w:bookmarkStart w:id="2" w:name="_GoBack"/>
            <w:r>
              <w:rPr>
                <w:rFonts w:hint="eastAsia" w:eastAsiaTheme="minorEastAsia"/>
                <w:vertAlign w:val="baseline"/>
                <w:lang w:eastAsia="zh-CN"/>
              </w:rPr>
              <w:drawing>
                <wp:inline distT="0" distB="0" distL="114300" distR="114300">
                  <wp:extent cx="3242945" cy="4557395"/>
                  <wp:effectExtent l="0" t="0" r="3175" b="14605"/>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1"/>
                          </pic:cNvPicPr>
                        </pic:nvPicPr>
                        <pic:blipFill>
                          <a:blip r:embed="rId11"/>
                          <a:stretch>
                            <a:fillRect/>
                          </a:stretch>
                        </pic:blipFill>
                        <pic:spPr>
                          <a:xfrm>
                            <a:off x="0" y="0"/>
                            <a:ext cx="3242945" cy="4557395"/>
                          </a:xfrm>
                          <a:prstGeom prst="rect">
                            <a:avLst/>
                          </a:prstGeom>
                        </pic:spPr>
                      </pic:pic>
                    </a:graphicData>
                  </a:graphic>
                </wp:inline>
              </w:drawing>
            </w:r>
            <w:bookmarkEnd w:id="2"/>
          </w:p>
        </w:tc>
      </w:tr>
    </w:tbl>
    <w:p w14:paraId="05D5913D">
      <w:pPr>
        <w:rPr>
          <w:rFonts w:hint="eastAsia" w:eastAsiaTheme="minorEastAsia"/>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E4B9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FC37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A273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7588F">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68D2C">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D76C">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BBD712F2-E574-45BD-9C4A-C54ECCBDF3B2}"/>
    <w:docVar w:name="KY_MEDREF_VERSION" w:val="3"/>
  </w:docVars>
  <w:rsids>
    <w:rsidRoot w:val="530C48B6"/>
    <w:rsid w:val="000F77E8"/>
    <w:rsid w:val="002A79CA"/>
    <w:rsid w:val="006A481E"/>
    <w:rsid w:val="01E2370B"/>
    <w:rsid w:val="01ED255F"/>
    <w:rsid w:val="024D698E"/>
    <w:rsid w:val="029B499D"/>
    <w:rsid w:val="029C67A9"/>
    <w:rsid w:val="02A34293"/>
    <w:rsid w:val="03E96736"/>
    <w:rsid w:val="041A4B41"/>
    <w:rsid w:val="04466D81"/>
    <w:rsid w:val="048078B8"/>
    <w:rsid w:val="048B5861"/>
    <w:rsid w:val="05654F15"/>
    <w:rsid w:val="056C65A8"/>
    <w:rsid w:val="057F0A7D"/>
    <w:rsid w:val="05832EF2"/>
    <w:rsid w:val="06831346"/>
    <w:rsid w:val="06B02AB1"/>
    <w:rsid w:val="06B90F6E"/>
    <w:rsid w:val="06CB7B3B"/>
    <w:rsid w:val="06DF55DC"/>
    <w:rsid w:val="07375B2E"/>
    <w:rsid w:val="074F2F6B"/>
    <w:rsid w:val="082652A7"/>
    <w:rsid w:val="08502E7E"/>
    <w:rsid w:val="09056D70"/>
    <w:rsid w:val="091025E8"/>
    <w:rsid w:val="09217FDE"/>
    <w:rsid w:val="095627FB"/>
    <w:rsid w:val="0A2A5FD0"/>
    <w:rsid w:val="0A584771"/>
    <w:rsid w:val="0B827E00"/>
    <w:rsid w:val="0BA81383"/>
    <w:rsid w:val="0C226630"/>
    <w:rsid w:val="0C637778"/>
    <w:rsid w:val="0CEF3024"/>
    <w:rsid w:val="0E9F503B"/>
    <w:rsid w:val="0EA415A8"/>
    <w:rsid w:val="0EE45CCA"/>
    <w:rsid w:val="0F433DD9"/>
    <w:rsid w:val="0F9A2527"/>
    <w:rsid w:val="0FC3598C"/>
    <w:rsid w:val="1009457D"/>
    <w:rsid w:val="107B0110"/>
    <w:rsid w:val="10B46A7B"/>
    <w:rsid w:val="10D31AD3"/>
    <w:rsid w:val="110A5574"/>
    <w:rsid w:val="11271468"/>
    <w:rsid w:val="112A2B48"/>
    <w:rsid w:val="11603216"/>
    <w:rsid w:val="11A345D5"/>
    <w:rsid w:val="122464C5"/>
    <w:rsid w:val="12563621"/>
    <w:rsid w:val="127B6A04"/>
    <w:rsid w:val="12816F9B"/>
    <w:rsid w:val="1314673C"/>
    <w:rsid w:val="134741F3"/>
    <w:rsid w:val="135030F6"/>
    <w:rsid w:val="13671636"/>
    <w:rsid w:val="13B73B6E"/>
    <w:rsid w:val="146470C7"/>
    <w:rsid w:val="151E61E3"/>
    <w:rsid w:val="15597904"/>
    <w:rsid w:val="15695AD5"/>
    <w:rsid w:val="15754CCD"/>
    <w:rsid w:val="1600701E"/>
    <w:rsid w:val="16162069"/>
    <w:rsid w:val="16192A4D"/>
    <w:rsid w:val="165651C6"/>
    <w:rsid w:val="16581F5C"/>
    <w:rsid w:val="168C675B"/>
    <w:rsid w:val="168D2D36"/>
    <w:rsid w:val="16AD5F6A"/>
    <w:rsid w:val="17FA7C73"/>
    <w:rsid w:val="18041EC7"/>
    <w:rsid w:val="18537505"/>
    <w:rsid w:val="189F1861"/>
    <w:rsid w:val="18E13018"/>
    <w:rsid w:val="194A17B3"/>
    <w:rsid w:val="1A125E40"/>
    <w:rsid w:val="1A453A4E"/>
    <w:rsid w:val="1A630359"/>
    <w:rsid w:val="1AAD5A90"/>
    <w:rsid w:val="1B237091"/>
    <w:rsid w:val="1B3244D2"/>
    <w:rsid w:val="1B5666B3"/>
    <w:rsid w:val="1B5E39F5"/>
    <w:rsid w:val="1BE47576"/>
    <w:rsid w:val="1C8072FE"/>
    <w:rsid w:val="1DC75810"/>
    <w:rsid w:val="1E00664A"/>
    <w:rsid w:val="1E874B59"/>
    <w:rsid w:val="1F204232"/>
    <w:rsid w:val="1F342BC5"/>
    <w:rsid w:val="200720C8"/>
    <w:rsid w:val="214545E3"/>
    <w:rsid w:val="21A92059"/>
    <w:rsid w:val="21C422A7"/>
    <w:rsid w:val="22003ABB"/>
    <w:rsid w:val="22572E09"/>
    <w:rsid w:val="22721ED0"/>
    <w:rsid w:val="22A24B7A"/>
    <w:rsid w:val="22ED208A"/>
    <w:rsid w:val="235A7B34"/>
    <w:rsid w:val="241D4E65"/>
    <w:rsid w:val="242A595E"/>
    <w:rsid w:val="244D44C5"/>
    <w:rsid w:val="24DB194C"/>
    <w:rsid w:val="2660125B"/>
    <w:rsid w:val="27E13447"/>
    <w:rsid w:val="287F7B8D"/>
    <w:rsid w:val="28BA7EA5"/>
    <w:rsid w:val="29583678"/>
    <w:rsid w:val="29A85019"/>
    <w:rsid w:val="29E91B4D"/>
    <w:rsid w:val="2A171B72"/>
    <w:rsid w:val="2A6268F0"/>
    <w:rsid w:val="2AD975CA"/>
    <w:rsid w:val="2B4F7387"/>
    <w:rsid w:val="2B9862C3"/>
    <w:rsid w:val="2BCD6412"/>
    <w:rsid w:val="2BD46431"/>
    <w:rsid w:val="2E466225"/>
    <w:rsid w:val="2E492437"/>
    <w:rsid w:val="2E4A36C8"/>
    <w:rsid w:val="2EAE76EB"/>
    <w:rsid w:val="2F0927AA"/>
    <w:rsid w:val="2F901F97"/>
    <w:rsid w:val="307C61AC"/>
    <w:rsid w:val="319F4CB7"/>
    <w:rsid w:val="31A31110"/>
    <w:rsid w:val="31B81D4D"/>
    <w:rsid w:val="31E4182E"/>
    <w:rsid w:val="32185EAC"/>
    <w:rsid w:val="321A1ABA"/>
    <w:rsid w:val="3255569A"/>
    <w:rsid w:val="326943E7"/>
    <w:rsid w:val="32C13B43"/>
    <w:rsid w:val="331F0B70"/>
    <w:rsid w:val="337706D5"/>
    <w:rsid w:val="34062D18"/>
    <w:rsid w:val="34166A46"/>
    <w:rsid w:val="34212D79"/>
    <w:rsid w:val="345C24D8"/>
    <w:rsid w:val="345F43D2"/>
    <w:rsid w:val="35057147"/>
    <w:rsid w:val="355A1021"/>
    <w:rsid w:val="35906BA5"/>
    <w:rsid w:val="35B87072"/>
    <w:rsid w:val="35BB59DB"/>
    <w:rsid w:val="36131330"/>
    <w:rsid w:val="364C009F"/>
    <w:rsid w:val="36515C8F"/>
    <w:rsid w:val="36CC5350"/>
    <w:rsid w:val="370C0D66"/>
    <w:rsid w:val="3729219A"/>
    <w:rsid w:val="373C282A"/>
    <w:rsid w:val="3779544D"/>
    <w:rsid w:val="378044F9"/>
    <w:rsid w:val="37AB7CC8"/>
    <w:rsid w:val="37DC2377"/>
    <w:rsid w:val="392C3082"/>
    <w:rsid w:val="39AD2811"/>
    <w:rsid w:val="3A067E1A"/>
    <w:rsid w:val="3A6B2FAC"/>
    <w:rsid w:val="3A95359C"/>
    <w:rsid w:val="3B795049"/>
    <w:rsid w:val="3B864C69"/>
    <w:rsid w:val="3BFD1F43"/>
    <w:rsid w:val="3C3C7099"/>
    <w:rsid w:val="3D6E4193"/>
    <w:rsid w:val="3DC33DF0"/>
    <w:rsid w:val="3DD15541"/>
    <w:rsid w:val="3E6976DB"/>
    <w:rsid w:val="3F505CFF"/>
    <w:rsid w:val="3F8903EB"/>
    <w:rsid w:val="3FB86ED2"/>
    <w:rsid w:val="40CC0FF0"/>
    <w:rsid w:val="418C5680"/>
    <w:rsid w:val="41C62F3F"/>
    <w:rsid w:val="41E50F1F"/>
    <w:rsid w:val="42094752"/>
    <w:rsid w:val="42537274"/>
    <w:rsid w:val="42834740"/>
    <w:rsid w:val="43532F31"/>
    <w:rsid w:val="43D71165"/>
    <w:rsid w:val="440F587B"/>
    <w:rsid w:val="444D2154"/>
    <w:rsid w:val="44A23EE8"/>
    <w:rsid w:val="454016C6"/>
    <w:rsid w:val="454B544E"/>
    <w:rsid w:val="4623798A"/>
    <w:rsid w:val="46331DFB"/>
    <w:rsid w:val="46422453"/>
    <w:rsid w:val="46AA71B9"/>
    <w:rsid w:val="46DC7C00"/>
    <w:rsid w:val="47107293"/>
    <w:rsid w:val="471C3A71"/>
    <w:rsid w:val="471E4E7D"/>
    <w:rsid w:val="472B4910"/>
    <w:rsid w:val="477F087B"/>
    <w:rsid w:val="47E707DF"/>
    <w:rsid w:val="47EF6CB5"/>
    <w:rsid w:val="482033A8"/>
    <w:rsid w:val="48305088"/>
    <w:rsid w:val="487C3B0F"/>
    <w:rsid w:val="490273DA"/>
    <w:rsid w:val="4978167B"/>
    <w:rsid w:val="49945BCC"/>
    <w:rsid w:val="49A048B2"/>
    <w:rsid w:val="49B61BF0"/>
    <w:rsid w:val="4A102AB6"/>
    <w:rsid w:val="4B7D5415"/>
    <w:rsid w:val="4C101359"/>
    <w:rsid w:val="4C116CF7"/>
    <w:rsid w:val="4C9E1B9C"/>
    <w:rsid w:val="4CEA5B85"/>
    <w:rsid w:val="4D7F75E9"/>
    <w:rsid w:val="4D84085F"/>
    <w:rsid w:val="4DB43CB3"/>
    <w:rsid w:val="4DC11D68"/>
    <w:rsid w:val="4E5D42DE"/>
    <w:rsid w:val="4EF04D5D"/>
    <w:rsid w:val="500805C2"/>
    <w:rsid w:val="508D259C"/>
    <w:rsid w:val="51212ED7"/>
    <w:rsid w:val="515A40AE"/>
    <w:rsid w:val="515C08C2"/>
    <w:rsid w:val="518C032F"/>
    <w:rsid w:val="51953581"/>
    <w:rsid w:val="51B73E28"/>
    <w:rsid w:val="52053661"/>
    <w:rsid w:val="52140C9D"/>
    <w:rsid w:val="52403BCC"/>
    <w:rsid w:val="52476CFA"/>
    <w:rsid w:val="52EF1437"/>
    <w:rsid w:val="52F34A2C"/>
    <w:rsid w:val="52F6597E"/>
    <w:rsid w:val="530C48B6"/>
    <w:rsid w:val="54684164"/>
    <w:rsid w:val="54A53259"/>
    <w:rsid w:val="55642190"/>
    <w:rsid w:val="55691052"/>
    <w:rsid w:val="55C927DB"/>
    <w:rsid w:val="55D501BF"/>
    <w:rsid w:val="563A5088"/>
    <w:rsid w:val="567807C5"/>
    <w:rsid w:val="570364A5"/>
    <w:rsid w:val="57326FBE"/>
    <w:rsid w:val="573B1DA4"/>
    <w:rsid w:val="588A435D"/>
    <w:rsid w:val="58EA2F9C"/>
    <w:rsid w:val="59272BD0"/>
    <w:rsid w:val="594C2A7E"/>
    <w:rsid w:val="5A38270A"/>
    <w:rsid w:val="5A4548EE"/>
    <w:rsid w:val="5A8877EA"/>
    <w:rsid w:val="5A8E6985"/>
    <w:rsid w:val="5A91554F"/>
    <w:rsid w:val="5AA33F5A"/>
    <w:rsid w:val="5AC95445"/>
    <w:rsid w:val="5AE842AE"/>
    <w:rsid w:val="5B103411"/>
    <w:rsid w:val="5B671EBB"/>
    <w:rsid w:val="5B773FBE"/>
    <w:rsid w:val="5BDF08C9"/>
    <w:rsid w:val="5C170A17"/>
    <w:rsid w:val="5C563C2A"/>
    <w:rsid w:val="5C766134"/>
    <w:rsid w:val="5CB35D3E"/>
    <w:rsid w:val="5D44678D"/>
    <w:rsid w:val="5D701385"/>
    <w:rsid w:val="5E3216D5"/>
    <w:rsid w:val="61457282"/>
    <w:rsid w:val="623801A0"/>
    <w:rsid w:val="62457326"/>
    <w:rsid w:val="62853844"/>
    <w:rsid w:val="62C2782A"/>
    <w:rsid w:val="63ED1E98"/>
    <w:rsid w:val="642961E0"/>
    <w:rsid w:val="64AD3752"/>
    <w:rsid w:val="650A6EBD"/>
    <w:rsid w:val="65E846EB"/>
    <w:rsid w:val="662226DA"/>
    <w:rsid w:val="6634532B"/>
    <w:rsid w:val="66796AE9"/>
    <w:rsid w:val="668C78F6"/>
    <w:rsid w:val="674E6EFC"/>
    <w:rsid w:val="68392F96"/>
    <w:rsid w:val="6888668A"/>
    <w:rsid w:val="68C36B4D"/>
    <w:rsid w:val="692B565F"/>
    <w:rsid w:val="692E51CC"/>
    <w:rsid w:val="69455F87"/>
    <w:rsid w:val="6A3141AC"/>
    <w:rsid w:val="6ACC1444"/>
    <w:rsid w:val="6B273DD6"/>
    <w:rsid w:val="6B7E6CFE"/>
    <w:rsid w:val="6BC5144E"/>
    <w:rsid w:val="6CD92014"/>
    <w:rsid w:val="6D273280"/>
    <w:rsid w:val="6D341E1D"/>
    <w:rsid w:val="6DCF314F"/>
    <w:rsid w:val="6DDC5D28"/>
    <w:rsid w:val="6DED3657"/>
    <w:rsid w:val="6E4A2803"/>
    <w:rsid w:val="6F53099E"/>
    <w:rsid w:val="6FE070BA"/>
    <w:rsid w:val="709F6C47"/>
    <w:rsid w:val="71474230"/>
    <w:rsid w:val="714E4778"/>
    <w:rsid w:val="71602A1F"/>
    <w:rsid w:val="721F3594"/>
    <w:rsid w:val="72797239"/>
    <w:rsid w:val="737E78DC"/>
    <w:rsid w:val="73900426"/>
    <w:rsid w:val="740C1BE3"/>
    <w:rsid w:val="743E568C"/>
    <w:rsid w:val="754244D7"/>
    <w:rsid w:val="754948FD"/>
    <w:rsid w:val="75521AC2"/>
    <w:rsid w:val="760D4D75"/>
    <w:rsid w:val="761304D8"/>
    <w:rsid w:val="7863181A"/>
    <w:rsid w:val="786C47E4"/>
    <w:rsid w:val="78EC5310"/>
    <w:rsid w:val="793A1E10"/>
    <w:rsid w:val="794557BD"/>
    <w:rsid w:val="799D4E28"/>
    <w:rsid w:val="7A2B048E"/>
    <w:rsid w:val="7A682AD9"/>
    <w:rsid w:val="7AE74407"/>
    <w:rsid w:val="7C85720D"/>
    <w:rsid w:val="7CEE7019"/>
    <w:rsid w:val="7D0E52FB"/>
    <w:rsid w:val="7D312B3A"/>
    <w:rsid w:val="7DD04FC1"/>
    <w:rsid w:val="7E356BB1"/>
    <w:rsid w:val="7E4942CA"/>
    <w:rsid w:val="7E9E0CA5"/>
    <w:rsid w:val="7EC54075"/>
    <w:rsid w:val="7ED358A3"/>
    <w:rsid w:val="7EDA4685"/>
    <w:rsid w:val="7F136A0E"/>
    <w:rsid w:val="7F795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EndNote Bibliography"/>
    <w:qFormat/>
    <w:uiPriority w:val="0"/>
    <w:pPr>
      <w:widowControl w:val="0"/>
      <w:jc w:val="both"/>
    </w:pPr>
    <w:rPr>
      <w:rFonts w:hint="eastAsia" w:ascii="等线" w:hAnsi="等线" w:eastAsia="等线" w:cs="等线"/>
      <w:kern w:val="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414</Words>
  <Characters>2638</Characters>
  <Lines>0</Lines>
  <Paragraphs>0</Paragraphs>
  <TotalTime>1</TotalTime>
  <ScaleCrop>false</ScaleCrop>
  <LinksUpToDate>false</LinksUpToDate>
  <CharactersWithSpaces>3016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2026-03-25T15:02:00Z</dcterms:created>
  <dc:creator>晴天</dc:creator>
  <cp:lastModifiedBy>晴天</cp:lastModifiedBy>
  <dcterms:modified xsi:type="dcterms:W3CDTF">2026-03-27T06:35:25Z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FED2313595464ACD823EBFBE18410F88_11</vt:lpwstr>
  </property>
  <property fmtid="{D5CDD505-2E9C-101B-9397-08002B2CF9AE}" pid="4" name="KSOTemplateDocerSaveRecord">
    <vt:lpwstr>eyJoZGlkIjoiNzhhNDY0ZTNhZjBjOTY2N2IxM2NjYTExZWRmYjdiMTUiLCJ1c2VySWQiOiI2NjEwNjY5NTcifQ==</vt:lpwstr>
  </property>
</Properties>
</file>