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5E" w:rsidRPr="00A15C41" w:rsidRDefault="00A15C41" w:rsidP="00A15C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C41">
        <w:rPr>
          <w:rFonts w:ascii="Times New Roman" w:hAnsi="Times New Roman" w:cs="Times New Roman"/>
          <w:sz w:val="28"/>
          <w:szCs w:val="28"/>
        </w:rPr>
        <w:t>Supplementary Materials</w:t>
      </w:r>
    </w:p>
    <w:p w:rsidR="00A15C41" w:rsidRDefault="00A15C41">
      <w:pPr>
        <w:rPr>
          <w:rFonts w:ascii="Times New Roman" w:hAnsi="Times New Roman" w:cs="Times New Roman"/>
        </w:rPr>
      </w:pPr>
    </w:p>
    <w:p w:rsidR="00A15C41" w:rsidRDefault="00A15C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17640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补充三个血脂_画板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C41" w:rsidRDefault="00A15C41">
      <w:pPr>
        <w:rPr>
          <w:rFonts w:ascii="Times New Roman" w:hAnsi="Times New Roman" w:cs="Times New Roman"/>
          <w:sz w:val="15"/>
          <w:szCs w:val="15"/>
        </w:rPr>
      </w:pPr>
      <w:r w:rsidRPr="00A15C41">
        <w:rPr>
          <w:rFonts w:ascii="Times New Roman" w:hAnsi="Times New Roman" w:cs="Times New Roman"/>
          <w:sz w:val="15"/>
          <w:szCs w:val="15"/>
        </w:rPr>
        <w:t xml:space="preserve">Box-and-whisker plots </w:t>
      </w:r>
      <w:r w:rsidR="00D576FF" w:rsidRPr="00C03FE0">
        <w:rPr>
          <w:rFonts w:ascii="Times New Roman" w:hAnsi="Times New Roman" w:cs="Times New Roman"/>
          <w:sz w:val="15"/>
          <w:szCs w:val="15"/>
        </w:rPr>
        <w:t>showing</w:t>
      </w:r>
      <w:r w:rsidRPr="00A15C41">
        <w:rPr>
          <w:rFonts w:ascii="Times New Roman" w:hAnsi="Times New Roman" w:cs="Times New Roman"/>
          <w:sz w:val="15"/>
          <w:szCs w:val="15"/>
        </w:rPr>
        <w:t xml:space="preserve"> the distribution of T-CHO</w:t>
      </w:r>
      <w:r w:rsidRPr="00A15C41">
        <w:rPr>
          <w:rFonts w:ascii="Times New Roman" w:hAnsi="Times New Roman" w:cs="Times New Roman" w:hint="eastAsia"/>
          <w:sz w:val="15"/>
          <w:szCs w:val="15"/>
        </w:rPr>
        <w:t xml:space="preserve"> (</w:t>
      </w:r>
      <w:r w:rsidRPr="00A15C41">
        <w:rPr>
          <w:rFonts w:ascii="Times New Roman" w:hAnsi="Times New Roman" w:cs="Times New Roman"/>
          <w:sz w:val="15"/>
          <w:szCs w:val="15"/>
        </w:rPr>
        <w:t>A), LDL-C</w:t>
      </w:r>
      <w:r w:rsidRPr="00A15C41">
        <w:rPr>
          <w:rFonts w:ascii="Times New Roman" w:hAnsi="Times New Roman" w:cs="Times New Roman" w:hint="eastAsia"/>
          <w:sz w:val="15"/>
          <w:szCs w:val="15"/>
        </w:rPr>
        <w:t xml:space="preserve"> (</w:t>
      </w:r>
      <w:r w:rsidRPr="00A15C41">
        <w:rPr>
          <w:rFonts w:ascii="Times New Roman" w:hAnsi="Times New Roman" w:cs="Times New Roman"/>
          <w:sz w:val="15"/>
          <w:szCs w:val="15"/>
        </w:rPr>
        <w:t>B), and HDL-C</w:t>
      </w:r>
      <w:r w:rsidRPr="00A15C41">
        <w:rPr>
          <w:rFonts w:ascii="Times New Roman" w:hAnsi="Times New Roman" w:cs="Times New Roman" w:hint="eastAsia"/>
          <w:sz w:val="15"/>
          <w:szCs w:val="15"/>
        </w:rPr>
        <w:t xml:space="preserve"> (</w:t>
      </w:r>
      <w:r w:rsidRPr="00A15C41">
        <w:rPr>
          <w:rFonts w:ascii="Times New Roman" w:hAnsi="Times New Roman" w:cs="Times New Roman"/>
          <w:sz w:val="15"/>
          <w:szCs w:val="15"/>
        </w:rPr>
        <w:t>C)</w:t>
      </w:r>
      <w:r w:rsidRPr="00A15C41"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Pr="00A15C41">
        <w:rPr>
          <w:rFonts w:ascii="Times New Roman" w:hAnsi="Times New Roman" w:cs="Times New Roman"/>
          <w:sz w:val="15"/>
          <w:szCs w:val="15"/>
        </w:rPr>
        <w:t>across CKM stages</w:t>
      </w:r>
      <w:r w:rsidR="00D576FF"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="00D576FF" w:rsidRPr="00EF10D1">
        <w:rPr>
          <w:rFonts w:ascii="Times New Roman" w:hAnsi="Times New Roman" w:cs="Times New Roman"/>
          <w:sz w:val="15"/>
          <w:szCs w:val="15"/>
        </w:rPr>
        <w:t>(Healthy, S2, S3, and S4</w:t>
      </w:r>
      <w:r w:rsidR="00D576FF">
        <w:rPr>
          <w:rFonts w:ascii="Times New Roman" w:hAnsi="Times New Roman" w:cs="Times New Roman" w:hint="eastAsia"/>
          <w:sz w:val="15"/>
          <w:szCs w:val="15"/>
        </w:rPr>
        <w:t>;</w:t>
      </w:r>
      <w:r w:rsidR="00D576FF" w:rsidRPr="00106BE6">
        <w:t xml:space="preserve"> </w:t>
      </w:r>
      <w:r w:rsidR="00D576FF" w:rsidRPr="00106BE6">
        <w:rPr>
          <w:rFonts w:ascii="Times New Roman" w:hAnsi="Times New Roman" w:cs="Times New Roman"/>
          <w:sz w:val="15"/>
          <w:szCs w:val="15"/>
        </w:rPr>
        <w:t>n = 60 per group</w:t>
      </w:r>
      <w:r w:rsidR="00D576FF" w:rsidRPr="00EF10D1">
        <w:rPr>
          <w:rFonts w:ascii="Times New Roman" w:hAnsi="Times New Roman" w:cs="Times New Roman"/>
          <w:sz w:val="15"/>
          <w:szCs w:val="15"/>
        </w:rPr>
        <w:t>)</w:t>
      </w:r>
      <w:r w:rsidRPr="00A15C41">
        <w:rPr>
          <w:rFonts w:ascii="Times New Roman" w:hAnsi="Times New Roman" w:cs="Times New Roman"/>
          <w:sz w:val="15"/>
          <w:szCs w:val="15"/>
        </w:rPr>
        <w:t>.</w:t>
      </w:r>
      <w:r w:rsidR="00D576FF" w:rsidRPr="00D576FF">
        <w:t xml:space="preserve"> </w:t>
      </w:r>
      <w:r w:rsidR="00D576FF" w:rsidRPr="00D576FF">
        <w:rPr>
          <w:rFonts w:ascii="Times New Roman" w:hAnsi="Times New Roman" w:cs="Times New Roman"/>
          <w:sz w:val="15"/>
          <w:szCs w:val="15"/>
        </w:rPr>
        <w:t>The central line represents the median, boxes indicate the interquartile range (IQR), and whiskers represent the minimum and maximum values.</w:t>
      </w:r>
      <w:r w:rsidR="00D576FF"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Pr="00A15C41">
        <w:rPr>
          <w:rFonts w:ascii="Times New Roman" w:hAnsi="Times New Roman" w:cs="Times New Roman"/>
          <w:sz w:val="15"/>
          <w:szCs w:val="15"/>
        </w:rPr>
        <w:t xml:space="preserve">Statistical significance is indicated as </w:t>
      </w:r>
      <w:r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Pr="00A15C41">
        <w:rPr>
          <w:rFonts w:ascii="Times New Roman" w:hAnsi="Times New Roman" w:cs="Times New Roman"/>
          <w:sz w:val="15"/>
          <w:szCs w:val="15"/>
        </w:rPr>
        <w:t xml:space="preserve"> &lt; 0.05 (*), </w:t>
      </w:r>
      <w:r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Pr="00A15C41">
        <w:rPr>
          <w:rFonts w:ascii="Times New Roman" w:hAnsi="Times New Roman" w:cs="Times New Roman"/>
          <w:sz w:val="15"/>
          <w:szCs w:val="15"/>
        </w:rPr>
        <w:t xml:space="preserve"> &lt; 0.01 (**), </w:t>
      </w:r>
      <w:r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Pr="00A15C41">
        <w:rPr>
          <w:rFonts w:ascii="Times New Roman" w:hAnsi="Times New Roman" w:cs="Times New Roman"/>
          <w:sz w:val="15"/>
          <w:szCs w:val="15"/>
        </w:rPr>
        <w:t xml:space="preserve"> &lt; 0.001 (***), and </w:t>
      </w:r>
      <w:r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Pr="00A15C41">
        <w:rPr>
          <w:rFonts w:ascii="Times New Roman" w:hAnsi="Times New Roman" w:cs="Times New Roman"/>
          <w:sz w:val="15"/>
          <w:szCs w:val="15"/>
        </w:rPr>
        <w:t xml:space="preserve"> &lt; 0.0001 (****); ns indicates not significant.</w:t>
      </w:r>
      <w:r w:rsidR="00A61CE9" w:rsidRPr="00A61CE9">
        <w:rPr>
          <w:rFonts w:ascii="Times New Roman" w:hAnsi="Times New Roman" w:cs="Times New Roman"/>
          <w:sz w:val="15"/>
          <w:szCs w:val="15"/>
        </w:rPr>
        <w:t xml:space="preserve"> </w:t>
      </w:r>
      <w:r w:rsidR="00A61CE9" w:rsidRPr="0031198F">
        <w:rPr>
          <w:rFonts w:ascii="Times New Roman" w:hAnsi="Times New Roman" w:cs="Times New Roman"/>
          <w:sz w:val="15"/>
          <w:szCs w:val="15"/>
        </w:rPr>
        <w:t xml:space="preserve">All </w:t>
      </w:r>
      <w:r w:rsidR="00A61CE9" w:rsidRPr="0031198F">
        <w:rPr>
          <w:rFonts w:ascii="Times New Roman" w:hAnsi="Times New Roman" w:cs="Times New Roman" w:hint="eastAsia"/>
          <w:i/>
          <w:sz w:val="15"/>
          <w:szCs w:val="15"/>
        </w:rPr>
        <w:t>p</w:t>
      </w:r>
      <w:r w:rsidR="00F80868">
        <w:rPr>
          <w:rFonts w:ascii="Times New Roman" w:hAnsi="Times New Roman" w:cs="Times New Roman"/>
          <w:sz w:val="15"/>
          <w:szCs w:val="15"/>
        </w:rPr>
        <w:t xml:space="preserve"> values </w:t>
      </w:r>
      <w:r w:rsidR="00F80868">
        <w:rPr>
          <w:rFonts w:ascii="Times New Roman" w:hAnsi="Times New Roman" w:cs="Times New Roman" w:hint="eastAsia"/>
          <w:sz w:val="15"/>
          <w:szCs w:val="15"/>
        </w:rPr>
        <w:t>a</w:t>
      </w:r>
      <w:r w:rsidR="00A61CE9" w:rsidRPr="0031198F">
        <w:rPr>
          <w:rFonts w:ascii="Times New Roman" w:hAnsi="Times New Roman" w:cs="Times New Roman"/>
          <w:sz w:val="15"/>
          <w:szCs w:val="15"/>
        </w:rPr>
        <w:t>re two-sided.</w:t>
      </w:r>
    </w:p>
    <w:p w:rsidR="00A15C41" w:rsidRDefault="00A15C41" w:rsidP="00A15C41">
      <w:pPr>
        <w:jc w:val="center"/>
        <w:rPr>
          <w:rFonts w:ascii="Times New Roman" w:hAnsi="Times New Roman" w:cs="Times New Roman"/>
          <w:szCs w:val="21"/>
        </w:rPr>
      </w:pPr>
      <w:r w:rsidRPr="00A15C41">
        <w:rPr>
          <w:rFonts w:ascii="Times New Roman" w:hAnsi="Times New Roman" w:cs="Times New Roman"/>
          <w:szCs w:val="21"/>
        </w:rPr>
        <w:t>Supplementary Figure 1. Distribution of additional lipid parameters across CKM stages</w:t>
      </w:r>
    </w:p>
    <w:p w:rsidR="00A15C41" w:rsidRDefault="00A15C41">
      <w:pPr>
        <w:rPr>
          <w:rFonts w:ascii="Times New Roman" w:hAnsi="Times New Roman" w:cs="Times New Roman"/>
          <w:szCs w:val="21"/>
        </w:rPr>
      </w:pPr>
    </w:p>
    <w:p w:rsidR="00A15C41" w:rsidRDefault="00A15C41">
      <w:pPr>
        <w:rPr>
          <w:rFonts w:ascii="Times New Roman" w:hAnsi="Times New Roman" w:cs="Times New Roman"/>
          <w:szCs w:val="21"/>
        </w:rPr>
      </w:pPr>
    </w:p>
    <w:p w:rsidR="003E7CA6" w:rsidRDefault="003E7CA6">
      <w:pPr>
        <w:rPr>
          <w:rFonts w:ascii="Times New Roman" w:hAnsi="Times New Roman" w:cs="Times New Roman"/>
          <w:szCs w:val="21"/>
        </w:rPr>
      </w:pPr>
    </w:p>
    <w:p w:rsidR="00465D54" w:rsidRDefault="00465D5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drawing>
          <wp:inline distT="0" distB="0" distL="0" distR="0">
            <wp:extent cx="5274310" cy="17551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补充三个心肌_画板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D54" w:rsidRPr="00876E1D" w:rsidRDefault="00465D54">
      <w:pPr>
        <w:rPr>
          <w:rFonts w:ascii="Times New Roman" w:hAnsi="Times New Roman" w:cs="Times New Roman"/>
          <w:sz w:val="15"/>
          <w:szCs w:val="15"/>
        </w:rPr>
      </w:pPr>
      <w:r w:rsidRPr="00876E1D">
        <w:rPr>
          <w:rFonts w:ascii="Times New Roman" w:hAnsi="Times New Roman" w:cs="Times New Roman"/>
          <w:sz w:val="15"/>
          <w:szCs w:val="15"/>
        </w:rPr>
        <w:t xml:space="preserve">Box-and-whisker plots </w:t>
      </w:r>
      <w:r w:rsidRPr="00876E1D">
        <w:rPr>
          <w:rFonts w:ascii="Times New Roman" w:hAnsi="Times New Roman" w:cs="Times New Roman" w:hint="eastAsia"/>
          <w:sz w:val="15"/>
          <w:szCs w:val="15"/>
        </w:rPr>
        <w:t>show</w:t>
      </w:r>
      <w:r w:rsidRPr="00876E1D">
        <w:rPr>
          <w:rFonts w:ascii="Times New Roman" w:hAnsi="Times New Roman" w:cs="Times New Roman"/>
          <w:sz w:val="15"/>
          <w:szCs w:val="15"/>
        </w:rPr>
        <w:t>ing the distribution of AST</w:t>
      </w:r>
      <w:r w:rsidR="00876E1D" w:rsidRPr="00876E1D">
        <w:rPr>
          <w:rFonts w:ascii="Times New Roman" w:hAnsi="Times New Roman" w:cs="Times New Roman" w:hint="eastAsia"/>
          <w:sz w:val="15"/>
          <w:szCs w:val="15"/>
        </w:rPr>
        <w:t xml:space="preserve"> (A)</w:t>
      </w:r>
      <w:r w:rsidRPr="00876E1D">
        <w:rPr>
          <w:rFonts w:ascii="Times New Roman" w:hAnsi="Times New Roman" w:cs="Times New Roman"/>
          <w:sz w:val="15"/>
          <w:szCs w:val="15"/>
        </w:rPr>
        <w:t>, CK</w:t>
      </w:r>
      <w:r w:rsidR="00876E1D" w:rsidRPr="00876E1D">
        <w:rPr>
          <w:rFonts w:ascii="Times New Roman" w:hAnsi="Times New Roman" w:cs="Times New Roman" w:hint="eastAsia"/>
          <w:sz w:val="15"/>
          <w:szCs w:val="15"/>
        </w:rPr>
        <w:t xml:space="preserve"> (B)</w:t>
      </w:r>
      <w:r w:rsidRPr="00876E1D">
        <w:rPr>
          <w:rFonts w:ascii="Times New Roman" w:hAnsi="Times New Roman" w:cs="Times New Roman"/>
          <w:sz w:val="15"/>
          <w:szCs w:val="15"/>
        </w:rPr>
        <w:t>, and CK-MB</w:t>
      </w:r>
      <w:r w:rsidR="00876E1D" w:rsidRPr="00876E1D">
        <w:rPr>
          <w:rFonts w:ascii="Times New Roman" w:hAnsi="Times New Roman" w:cs="Times New Roman" w:hint="eastAsia"/>
          <w:sz w:val="15"/>
          <w:szCs w:val="15"/>
        </w:rPr>
        <w:t xml:space="preserve"> (C)</w:t>
      </w:r>
      <w:r w:rsidRPr="00876E1D">
        <w:rPr>
          <w:rFonts w:ascii="Times New Roman" w:hAnsi="Times New Roman" w:cs="Times New Roman"/>
          <w:sz w:val="15"/>
          <w:szCs w:val="15"/>
        </w:rPr>
        <w:t xml:space="preserve"> across CKM stages</w:t>
      </w:r>
      <w:r w:rsidR="00D576FF"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="00D576FF" w:rsidRPr="00EF10D1">
        <w:rPr>
          <w:rFonts w:ascii="Times New Roman" w:hAnsi="Times New Roman" w:cs="Times New Roman"/>
          <w:sz w:val="15"/>
          <w:szCs w:val="15"/>
        </w:rPr>
        <w:t>(Healthy, S2, S3, and S4</w:t>
      </w:r>
      <w:r w:rsidR="00D576FF">
        <w:rPr>
          <w:rFonts w:ascii="Times New Roman" w:hAnsi="Times New Roman" w:cs="Times New Roman" w:hint="eastAsia"/>
          <w:sz w:val="15"/>
          <w:szCs w:val="15"/>
        </w:rPr>
        <w:t>;</w:t>
      </w:r>
      <w:r w:rsidR="00D576FF" w:rsidRPr="00106BE6">
        <w:t xml:space="preserve"> </w:t>
      </w:r>
      <w:r w:rsidR="00D576FF" w:rsidRPr="00106BE6">
        <w:rPr>
          <w:rFonts w:ascii="Times New Roman" w:hAnsi="Times New Roman" w:cs="Times New Roman"/>
          <w:sz w:val="15"/>
          <w:szCs w:val="15"/>
        </w:rPr>
        <w:t>n = 60 per group</w:t>
      </w:r>
      <w:r w:rsidR="00D576FF" w:rsidRPr="00EF10D1">
        <w:rPr>
          <w:rFonts w:ascii="Times New Roman" w:hAnsi="Times New Roman" w:cs="Times New Roman"/>
          <w:sz w:val="15"/>
          <w:szCs w:val="15"/>
        </w:rPr>
        <w:t>)</w:t>
      </w:r>
      <w:r w:rsidRPr="00876E1D">
        <w:rPr>
          <w:rFonts w:ascii="Times New Roman" w:hAnsi="Times New Roman" w:cs="Times New Roman"/>
          <w:sz w:val="15"/>
          <w:szCs w:val="15"/>
        </w:rPr>
        <w:t xml:space="preserve">. </w:t>
      </w:r>
      <w:r w:rsidR="00D576FF" w:rsidRPr="00D576FF">
        <w:rPr>
          <w:rFonts w:ascii="Times New Roman" w:hAnsi="Times New Roman" w:cs="Times New Roman"/>
          <w:sz w:val="15"/>
          <w:szCs w:val="15"/>
        </w:rPr>
        <w:t>The central line represents the median, boxes indicate the interquartile range (IQR), and whiskers represent the minimum and maximum values.</w:t>
      </w:r>
      <w:r w:rsidR="00D576FF"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="00876E1D" w:rsidRPr="00876E1D">
        <w:rPr>
          <w:rFonts w:ascii="Times New Roman" w:hAnsi="Times New Roman" w:cs="Times New Roman"/>
          <w:sz w:val="15"/>
          <w:szCs w:val="15"/>
        </w:rPr>
        <w:t xml:space="preserve">Statistical significance is indicated as </w:t>
      </w:r>
      <w:r w:rsidR="00876E1D"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="00876E1D" w:rsidRPr="00876E1D">
        <w:rPr>
          <w:rFonts w:ascii="Times New Roman" w:hAnsi="Times New Roman" w:cs="Times New Roman"/>
          <w:sz w:val="15"/>
          <w:szCs w:val="15"/>
        </w:rPr>
        <w:t xml:space="preserve"> &lt; 0.05 (*), </w:t>
      </w:r>
      <w:r w:rsidR="00876E1D"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="00876E1D" w:rsidRPr="00876E1D">
        <w:rPr>
          <w:rFonts w:ascii="Times New Roman" w:hAnsi="Times New Roman" w:cs="Times New Roman"/>
          <w:sz w:val="15"/>
          <w:szCs w:val="15"/>
        </w:rPr>
        <w:t xml:space="preserve"> &lt; 0.01 (**), </w:t>
      </w:r>
      <w:r w:rsidR="00876E1D"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="00876E1D" w:rsidRPr="00876E1D">
        <w:rPr>
          <w:rFonts w:ascii="Times New Roman" w:hAnsi="Times New Roman" w:cs="Times New Roman"/>
          <w:sz w:val="15"/>
          <w:szCs w:val="15"/>
        </w:rPr>
        <w:t xml:space="preserve"> &lt; 0.001 (***), and </w:t>
      </w:r>
      <w:r w:rsidR="00876E1D"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="00876E1D" w:rsidRPr="00876E1D">
        <w:rPr>
          <w:rFonts w:ascii="Times New Roman" w:hAnsi="Times New Roman" w:cs="Times New Roman"/>
          <w:sz w:val="15"/>
          <w:szCs w:val="15"/>
        </w:rPr>
        <w:t xml:space="preserve"> &lt; 0.0001 (****); ns indicates not significant.</w:t>
      </w:r>
      <w:r w:rsidR="00A61CE9" w:rsidRPr="00A61CE9">
        <w:rPr>
          <w:rFonts w:ascii="Times New Roman" w:hAnsi="Times New Roman" w:cs="Times New Roman"/>
          <w:sz w:val="15"/>
          <w:szCs w:val="15"/>
        </w:rPr>
        <w:t xml:space="preserve"> </w:t>
      </w:r>
      <w:r w:rsidR="00A61CE9" w:rsidRPr="0031198F">
        <w:rPr>
          <w:rFonts w:ascii="Times New Roman" w:hAnsi="Times New Roman" w:cs="Times New Roman"/>
          <w:sz w:val="15"/>
          <w:szCs w:val="15"/>
        </w:rPr>
        <w:t xml:space="preserve">All </w:t>
      </w:r>
      <w:r w:rsidR="00A61CE9" w:rsidRPr="0031198F">
        <w:rPr>
          <w:rFonts w:ascii="Times New Roman" w:hAnsi="Times New Roman" w:cs="Times New Roman" w:hint="eastAsia"/>
          <w:i/>
          <w:sz w:val="15"/>
          <w:szCs w:val="15"/>
        </w:rPr>
        <w:t>p</w:t>
      </w:r>
      <w:r w:rsidR="00F80868">
        <w:rPr>
          <w:rFonts w:ascii="Times New Roman" w:hAnsi="Times New Roman" w:cs="Times New Roman"/>
          <w:sz w:val="15"/>
          <w:szCs w:val="15"/>
        </w:rPr>
        <w:t xml:space="preserve"> values </w:t>
      </w:r>
      <w:r w:rsidR="00F80868">
        <w:rPr>
          <w:rFonts w:ascii="Times New Roman" w:hAnsi="Times New Roman" w:cs="Times New Roman" w:hint="eastAsia"/>
          <w:sz w:val="15"/>
          <w:szCs w:val="15"/>
        </w:rPr>
        <w:t>a</w:t>
      </w:r>
      <w:r w:rsidR="00A61CE9" w:rsidRPr="0031198F">
        <w:rPr>
          <w:rFonts w:ascii="Times New Roman" w:hAnsi="Times New Roman" w:cs="Times New Roman"/>
          <w:sz w:val="15"/>
          <w:szCs w:val="15"/>
        </w:rPr>
        <w:t>re two-sided.</w:t>
      </w:r>
    </w:p>
    <w:p w:rsidR="00A15C41" w:rsidRDefault="00876E1D" w:rsidP="003755F1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Supplementary Figure </w:t>
      </w:r>
      <w:r>
        <w:rPr>
          <w:rFonts w:ascii="Times New Roman" w:hAnsi="Times New Roman" w:cs="Times New Roman" w:hint="eastAsia"/>
          <w:szCs w:val="21"/>
        </w:rPr>
        <w:t>2</w:t>
      </w:r>
      <w:r w:rsidRPr="00876E1D">
        <w:rPr>
          <w:rFonts w:ascii="Times New Roman" w:hAnsi="Times New Roman" w:cs="Times New Roman"/>
          <w:szCs w:val="21"/>
        </w:rPr>
        <w:t xml:space="preserve">. Distribution of </w:t>
      </w:r>
      <w:r w:rsidR="003755F1" w:rsidRPr="003755F1">
        <w:rPr>
          <w:rFonts w:ascii="Times New Roman" w:hAnsi="Times New Roman" w:cs="Times New Roman"/>
          <w:szCs w:val="21"/>
        </w:rPr>
        <w:t>additional myocardial biomarkers across CKM stages</w:t>
      </w:r>
    </w:p>
    <w:p w:rsidR="00CB5F9E" w:rsidRDefault="00CB5F9E">
      <w:pPr>
        <w:rPr>
          <w:rFonts w:ascii="Times New Roman" w:hAnsi="Times New Roman" w:cs="Times New Roman"/>
          <w:szCs w:val="21"/>
        </w:rPr>
      </w:pPr>
    </w:p>
    <w:p w:rsidR="00CB5F9E" w:rsidRDefault="00CB5F9E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lastRenderedPageBreak/>
        <w:drawing>
          <wp:inline distT="0" distB="0" distL="0" distR="0">
            <wp:extent cx="5274310" cy="31616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补充五个肾指标_画板 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F9E" w:rsidRPr="00876E1D" w:rsidRDefault="00CB5F9E" w:rsidP="00CB5F9E">
      <w:pPr>
        <w:rPr>
          <w:rFonts w:ascii="Times New Roman" w:hAnsi="Times New Roman" w:cs="Times New Roman"/>
          <w:sz w:val="15"/>
          <w:szCs w:val="15"/>
        </w:rPr>
      </w:pPr>
      <w:r w:rsidRPr="00CB5F9E">
        <w:rPr>
          <w:rFonts w:ascii="Times New Roman" w:hAnsi="Times New Roman" w:cs="Times New Roman"/>
          <w:sz w:val="15"/>
          <w:szCs w:val="15"/>
        </w:rPr>
        <w:t>Box-and-whisker plots showing the distribution of serum urea</w:t>
      </w:r>
      <w:r w:rsidRPr="00CB5F9E">
        <w:rPr>
          <w:rFonts w:ascii="Times New Roman" w:hAnsi="Times New Roman" w:cs="Times New Roman" w:hint="eastAsia"/>
          <w:sz w:val="15"/>
          <w:szCs w:val="15"/>
        </w:rPr>
        <w:t xml:space="preserve"> (A)</w:t>
      </w:r>
      <w:r w:rsidRPr="00CB5F9E">
        <w:rPr>
          <w:rFonts w:ascii="Times New Roman" w:hAnsi="Times New Roman" w:cs="Times New Roman"/>
          <w:sz w:val="15"/>
          <w:szCs w:val="15"/>
        </w:rPr>
        <w:t>, UA</w:t>
      </w:r>
      <w:r w:rsidRPr="00CB5F9E">
        <w:rPr>
          <w:rFonts w:ascii="Times New Roman" w:hAnsi="Times New Roman" w:cs="Times New Roman" w:hint="eastAsia"/>
          <w:sz w:val="15"/>
          <w:szCs w:val="15"/>
        </w:rPr>
        <w:t xml:space="preserve"> (B)</w:t>
      </w:r>
      <w:r w:rsidRPr="00CB5F9E">
        <w:rPr>
          <w:rFonts w:ascii="Times New Roman" w:hAnsi="Times New Roman" w:cs="Times New Roman"/>
          <w:sz w:val="15"/>
          <w:szCs w:val="15"/>
        </w:rPr>
        <w:t>, serum Cr</w:t>
      </w:r>
      <w:r w:rsidRPr="00CB5F9E">
        <w:rPr>
          <w:rFonts w:ascii="Times New Roman" w:hAnsi="Times New Roman" w:cs="Times New Roman" w:hint="eastAsia"/>
          <w:sz w:val="15"/>
          <w:szCs w:val="15"/>
        </w:rPr>
        <w:t xml:space="preserve"> (C)</w:t>
      </w:r>
      <w:r w:rsidRPr="00CB5F9E">
        <w:rPr>
          <w:rFonts w:ascii="Times New Roman" w:hAnsi="Times New Roman" w:cs="Times New Roman"/>
          <w:sz w:val="15"/>
          <w:szCs w:val="15"/>
        </w:rPr>
        <w:t>, log</w:t>
      </w:r>
      <w:r w:rsidRPr="00CB5F9E">
        <w:rPr>
          <w:rFonts w:ascii="Times New Roman" w:hAnsi="Times New Roman" w:cs="Times New Roman" w:hint="eastAsia"/>
          <w:sz w:val="15"/>
          <w:szCs w:val="15"/>
          <w:vertAlign w:val="subscript"/>
        </w:rPr>
        <w:t>10</w:t>
      </w:r>
      <w:r w:rsidRPr="00CB5F9E">
        <w:rPr>
          <w:rFonts w:ascii="Times New Roman" w:hAnsi="Times New Roman" w:cs="Times New Roman"/>
          <w:sz w:val="15"/>
          <w:szCs w:val="15"/>
        </w:rPr>
        <w:t>-transformed uPRO</w:t>
      </w:r>
      <w:r w:rsidRPr="00CB5F9E">
        <w:rPr>
          <w:rFonts w:ascii="Times New Roman" w:hAnsi="Times New Roman" w:cs="Times New Roman" w:hint="eastAsia"/>
          <w:sz w:val="15"/>
          <w:szCs w:val="15"/>
        </w:rPr>
        <w:t xml:space="preserve"> (D)</w:t>
      </w:r>
      <w:r w:rsidRPr="00CB5F9E">
        <w:rPr>
          <w:rFonts w:ascii="Times New Roman" w:hAnsi="Times New Roman" w:cs="Times New Roman"/>
          <w:sz w:val="15"/>
          <w:szCs w:val="15"/>
        </w:rPr>
        <w:t>, and uCr</w:t>
      </w:r>
      <w:r w:rsidRPr="00CB5F9E">
        <w:rPr>
          <w:rFonts w:ascii="Times New Roman" w:hAnsi="Times New Roman" w:cs="Times New Roman" w:hint="eastAsia"/>
          <w:sz w:val="15"/>
          <w:szCs w:val="15"/>
        </w:rPr>
        <w:t xml:space="preserve"> (E) </w:t>
      </w:r>
      <w:r w:rsidRPr="00CB5F9E">
        <w:rPr>
          <w:rFonts w:ascii="Times New Roman" w:hAnsi="Times New Roman" w:cs="Times New Roman"/>
          <w:sz w:val="15"/>
          <w:szCs w:val="15"/>
        </w:rPr>
        <w:t>across CKM stages</w:t>
      </w:r>
      <w:r w:rsidR="00D576FF"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="00D576FF" w:rsidRPr="00EF10D1">
        <w:rPr>
          <w:rFonts w:ascii="Times New Roman" w:hAnsi="Times New Roman" w:cs="Times New Roman"/>
          <w:sz w:val="15"/>
          <w:szCs w:val="15"/>
        </w:rPr>
        <w:t>(Healthy, S2, S3, and S4</w:t>
      </w:r>
      <w:r w:rsidR="00D576FF">
        <w:rPr>
          <w:rFonts w:ascii="Times New Roman" w:hAnsi="Times New Roman" w:cs="Times New Roman" w:hint="eastAsia"/>
          <w:sz w:val="15"/>
          <w:szCs w:val="15"/>
        </w:rPr>
        <w:t>;</w:t>
      </w:r>
      <w:r w:rsidR="00D576FF" w:rsidRPr="00106BE6">
        <w:t xml:space="preserve"> </w:t>
      </w:r>
      <w:r w:rsidR="00D576FF" w:rsidRPr="00106BE6">
        <w:rPr>
          <w:rFonts w:ascii="Times New Roman" w:hAnsi="Times New Roman" w:cs="Times New Roman"/>
          <w:sz w:val="15"/>
          <w:szCs w:val="15"/>
        </w:rPr>
        <w:t>n = 60 per group</w:t>
      </w:r>
      <w:r w:rsidR="00D576FF" w:rsidRPr="00EF10D1">
        <w:rPr>
          <w:rFonts w:ascii="Times New Roman" w:hAnsi="Times New Roman" w:cs="Times New Roman"/>
          <w:sz w:val="15"/>
          <w:szCs w:val="15"/>
        </w:rPr>
        <w:t>)</w:t>
      </w:r>
      <w:r w:rsidRPr="00CB5F9E">
        <w:rPr>
          <w:rFonts w:ascii="Times New Roman" w:hAnsi="Times New Roman" w:cs="Times New Roman"/>
          <w:sz w:val="15"/>
          <w:szCs w:val="15"/>
        </w:rPr>
        <w:t xml:space="preserve">. </w:t>
      </w:r>
      <w:r w:rsidR="00D576FF" w:rsidRPr="00D576FF">
        <w:rPr>
          <w:rFonts w:ascii="Times New Roman" w:hAnsi="Times New Roman" w:cs="Times New Roman"/>
          <w:sz w:val="15"/>
          <w:szCs w:val="15"/>
        </w:rPr>
        <w:t>The central line represents the median, boxes indicate the interquartile range (IQR), and whiskers represent the minimum and maximum values.</w:t>
      </w:r>
      <w:r w:rsidR="00D576FF"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Pr="00876E1D">
        <w:rPr>
          <w:rFonts w:ascii="Times New Roman" w:hAnsi="Times New Roman" w:cs="Times New Roman"/>
          <w:sz w:val="15"/>
          <w:szCs w:val="15"/>
        </w:rPr>
        <w:t xml:space="preserve">Statistical significance is indicated as </w:t>
      </w:r>
      <w:r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Pr="00876E1D">
        <w:rPr>
          <w:rFonts w:ascii="Times New Roman" w:hAnsi="Times New Roman" w:cs="Times New Roman"/>
          <w:sz w:val="15"/>
          <w:szCs w:val="15"/>
        </w:rPr>
        <w:t xml:space="preserve"> &lt; 0.05 (*), </w:t>
      </w:r>
      <w:r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Pr="00876E1D">
        <w:rPr>
          <w:rFonts w:ascii="Times New Roman" w:hAnsi="Times New Roman" w:cs="Times New Roman"/>
          <w:sz w:val="15"/>
          <w:szCs w:val="15"/>
        </w:rPr>
        <w:t xml:space="preserve"> &lt; 0.01 (**), </w:t>
      </w:r>
      <w:r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Pr="00876E1D">
        <w:rPr>
          <w:rFonts w:ascii="Times New Roman" w:hAnsi="Times New Roman" w:cs="Times New Roman"/>
          <w:sz w:val="15"/>
          <w:szCs w:val="15"/>
        </w:rPr>
        <w:t xml:space="preserve"> &lt; 0.001 (***), and </w:t>
      </w:r>
      <w:r w:rsidRPr="00876E1D">
        <w:rPr>
          <w:rFonts w:ascii="Times New Roman" w:hAnsi="Times New Roman" w:cs="Times New Roman"/>
          <w:i/>
          <w:sz w:val="15"/>
          <w:szCs w:val="15"/>
        </w:rPr>
        <w:t>p</w:t>
      </w:r>
      <w:r w:rsidRPr="00876E1D">
        <w:rPr>
          <w:rFonts w:ascii="Times New Roman" w:hAnsi="Times New Roman" w:cs="Times New Roman"/>
          <w:sz w:val="15"/>
          <w:szCs w:val="15"/>
        </w:rPr>
        <w:t xml:space="preserve"> &lt; 0.0001 (****); ns indicates not significant.</w:t>
      </w:r>
      <w:r w:rsidR="00A61CE9" w:rsidRPr="00A61CE9">
        <w:rPr>
          <w:rFonts w:ascii="Times New Roman" w:hAnsi="Times New Roman" w:cs="Times New Roman"/>
          <w:sz w:val="15"/>
          <w:szCs w:val="15"/>
        </w:rPr>
        <w:t xml:space="preserve"> </w:t>
      </w:r>
      <w:r w:rsidR="00A61CE9" w:rsidRPr="0031198F">
        <w:rPr>
          <w:rFonts w:ascii="Times New Roman" w:hAnsi="Times New Roman" w:cs="Times New Roman"/>
          <w:sz w:val="15"/>
          <w:szCs w:val="15"/>
        </w:rPr>
        <w:t xml:space="preserve">All </w:t>
      </w:r>
      <w:r w:rsidR="00A61CE9" w:rsidRPr="0031198F">
        <w:rPr>
          <w:rFonts w:ascii="Times New Roman" w:hAnsi="Times New Roman" w:cs="Times New Roman" w:hint="eastAsia"/>
          <w:i/>
          <w:sz w:val="15"/>
          <w:szCs w:val="15"/>
        </w:rPr>
        <w:t>p</w:t>
      </w:r>
      <w:r w:rsidR="00F80868">
        <w:rPr>
          <w:rFonts w:ascii="Times New Roman" w:hAnsi="Times New Roman" w:cs="Times New Roman"/>
          <w:sz w:val="15"/>
          <w:szCs w:val="15"/>
        </w:rPr>
        <w:t xml:space="preserve"> values </w:t>
      </w:r>
      <w:r w:rsidR="00F80868">
        <w:rPr>
          <w:rFonts w:ascii="Times New Roman" w:hAnsi="Times New Roman" w:cs="Times New Roman" w:hint="eastAsia"/>
          <w:sz w:val="15"/>
          <w:szCs w:val="15"/>
        </w:rPr>
        <w:t>a</w:t>
      </w:r>
      <w:r w:rsidR="00A61CE9" w:rsidRPr="0031198F">
        <w:rPr>
          <w:rFonts w:ascii="Times New Roman" w:hAnsi="Times New Roman" w:cs="Times New Roman"/>
          <w:sz w:val="15"/>
          <w:szCs w:val="15"/>
        </w:rPr>
        <w:t>re two-sided.</w:t>
      </w:r>
    </w:p>
    <w:p w:rsidR="00A15C41" w:rsidRPr="00CB5F9E" w:rsidRDefault="009702B4" w:rsidP="009702B4">
      <w:pPr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Supplementary Figure </w:t>
      </w:r>
      <w:r>
        <w:rPr>
          <w:rFonts w:ascii="Times New Roman" w:hAnsi="Times New Roman" w:cs="Times New Roman" w:hint="eastAsia"/>
          <w:szCs w:val="21"/>
        </w:rPr>
        <w:t>3</w:t>
      </w:r>
      <w:r w:rsidRPr="009702B4">
        <w:rPr>
          <w:rFonts w:ascii="Times New Roman" w:hAnsi="Times New Roman" w:cs="Times New Roman"/>
          <w:szCs w:val="21"/>
        </w:rPr>
        <w:t xml:space="preserve">. Distribution of </w:t>
      </w:r>
      <w:r w:rsidR="005A6B14">
        <w:rPr>
          <w:rFonts w:ascii="Times New Roman" w:hAnsi="Times New Roman" w:cs="Times New Roman" w:hint="eastAsia"/>
          <w:szCs w:val="21"/>
        </w:rPr>
        <w:t>a</w:t>
      </w:r>
      <w:r w:rsidR="005A6B14" w:rsidRPr="005A6B14">
        <w:rPr>
          <w:rFonts w:ascii="Times New Roman" w:hAnsi="Times New Roman" w:cs="Times New Roman"/>
          <w:szCs w:val="21"/>
        </w:rPr>
        <w:t>dditional</w:t>
      </w:r>
      <w:r w:rsidRPr="009702B4">
        <w:rPr>
          <w:rFonts w:ascii="Times New Roman" w:hAnsi="Times New Roman" w:cs="Times New Roman"/>
          <w:szCs w:val="21"/>
        </w:rPr>
        <w:t xml:space="preserve"> renal biomarkers across CKM stages</w:t>
      </w:r>
    </w:p>
    <w:p w:rsidR="00A15C41" w:rsidRPr="00E917D3" w:rsidRDefault="00A15C41">
      <w:pPr>
        <w:rPr>
          <w:rFonts w:ascii="Times New Roman" w:hAnsi="Times New Roman" w:cs="Times New Roman"/>
          <w:szCs w:val="21"/>
        </w:rPr>
      </w:pPr>
    </w:p>
    <w:p w:rsidR="003E7CA6" w:rsidRDefault="003E7CA6">
      <w:pPr>
        <w:rPr>
          <w:rFonts w:ascii="Times New Roman" w:hAnsi="Times New Roman" w:cs="Times New Roman"/>
          <w:szCs w:val="21"/>
        </w:rPr>
      </w:pPr>
    </w:p>
    <w:p w:rsidR="003E7CA6" w:rsidRDefault="0014469A" w:rsidP="0014469A">
      <w:pPr>
        <w:jc w:val="center"/>
        <w:rPr>
          <w:rFonts w:ascii="Times New Roman" w:hAnsi="Times New Roman" w:cs="Times New Roman"/>
          <w:szCs w:val="21"/>
        </w:rPr>
      </w:pPr>
      <w:r w:rsidRPr="0014469A">
        <w:rPr>
          <w:rFonts w:ascii="Times New Roman" w:hAnsi="Times New Roman" w:cs="Times New Roman"/>
          <w:szCs w:val="21"/>
        </w:rPr>
        <w:t>Sup</w:t>
      </w:r>
      <w:r w:rsidR="008E4E84">
        <w:rPr>
          <w:rFonts w:ascii="Times New Roman" w:hAnsi="Times New Roman" w:cs="Times New Roman"/>
          <w:szCs w:val="21"/>
        </w:rPr>
        <w:t xml:space="preserve">plementary Table 1. </w:t>
      </w:r>
      <w:r w:rsidR="00DF02A2" w:rsidRPr="00DF02A2">
        <w:rPr>
          <w:rFonts w:ascii="Times New Roman" w:hAnsi="Times New Roman" w:cs="Times New Roman"/>
          <w:szCs w:val="21"/>
        </w:rPr>
        <w:t>Pairwise Spearman correlation coefficients among inflammatory, metabolic, and cardiorenal biomarkers</w:t>
      </w:r>
    </w:p>
    <w:tbl>
      <w:tblPr>
        <w:tblStyle w:val="a6"/>
        <w:tblW w:w="12111" w:type="dxa"/>
        <w:jc w:val="center"/>
        <w:tblInd w:w="-1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3E7CA6" w:rsidRPr="003E7CA6" w:rsidTr="0014469A">
        <w:trPr>
          <w:trHeight w:val="624"/>
          <w:jc w:val="center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14469A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469A">
              <w:rPr>
                <w:rFonts w:ascii="Times New Roman" w:hAnsi="Times New Roman" w:cs="Times New Roman"/>
                <w:szCs w:val="21"/>
              </w:rPr>
              <w:t>Biomar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14469A">
              <w:rPr>
                <w:rFonts w:ascii="Times New Roman" w:hAnsi="Times New Roman" w:cs="Times New Roman"/>
                <w:szCs w:val="21"/>
              </w:rPr>
              <w:t>kers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hs-</w:t>
            </w:r>
          </w:p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FPG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HbA1c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TG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Lp(a)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CK-</w:t>
            </w:r>
          </w:p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MB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hs-</w:t>
            </w:r>
          </w:p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cTnT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NT-proBNP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eGFR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uPRO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uCr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mALB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hs-</w:t>
            </w:r>
          </w:p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0.453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0.471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0.457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0.354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0.224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0.088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0.346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0.205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-0.292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0.313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-0.254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0.390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0.453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0.206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0.166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0.172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0.079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0.055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0.490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0.217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-0.294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0.240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-0.273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0.248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FPG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0.471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0.206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0.847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0.385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0.068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0.043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0.360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0.042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-0.110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-0.006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-0.438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0.125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HbA1c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0.457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0.166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0.847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0.352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0.125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0.040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0.038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-0.102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0.049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-0.462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0.141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TG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0.354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0.172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0.385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0.352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0.102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0.034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0.181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-0.011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-0.114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0.237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-0.272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0.321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Lp(a)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0.224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0.079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0.068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0.125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0.102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0.188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0.119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0.267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-0.137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0.255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-0.090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0.280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CK-</w:t>
            </w:r>
          </w:p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MB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0.088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0.055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0.043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0.040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0.034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0.188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0.177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0.302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-0.225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0.133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-0.093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0.202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hs-</w:t>
            </w:r>
          </w:p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cTnT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0.346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0.490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0.360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0.181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0.119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0.177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0.490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-0.494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0.326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-0.245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0.377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lastRenderedPageBreak/>
              <w:t>NT-proBNP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0.205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0.217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0.042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0.038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-0.011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0.267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0.302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0.490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-0.590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0.393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-0.162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0.420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eGFR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-0.292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-0.294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-0.110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-0.102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-0.114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-0.137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-0.225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-0.494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-0.590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-0.357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0.235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-0.395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uPRO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0.313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0.240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-0.006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0.049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0.237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0.255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0.133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0.326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0.393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-0.357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0.181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0.873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uCr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-0.254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-0.273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-0.438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-0.462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-0.272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-0.090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-0.093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-0.245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-0.162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0.235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0.181</w:t>
            </w:r>
          </w:p>
        </w:tc>
        <w:tc>
          <w:tcPr>
            <w:tcW w:w="865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66" w:type="dxa"/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0.052</w:t>
            </w:r>
          </w:p>
        </w:tc>
      </w:tr>
      <w:tr w:rsidR="003E7CA6" w:rsidRPr="003E7CA6" w:rsidTr="0014469A">
        <w:trPr>
          <w:trHeight w:val="624"/>
          <w:jc w:val="center"/>
        </w:trPr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mALB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0.390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0.248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0.125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0.141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0.321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0.280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0.202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0.377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0.420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-0.395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0.873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0.052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3E7CA6" w:rsidRPr="003E7CA6" w:rsidRDefault="003E7CA6" w:rsidP="003E7C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</w:tbl>
    <w:p w:rsidR="00A15C41" w:rsidRDefault="00F134FF">
      <w:pPr>
        <w:rPr>
          <w:rFonts w:ascii="Times New Roman" w:hAnsi="Times New Roman" w:cs="Times New Roman"/>
          <w:szCs w:val="21"/>
        </w:rPr>
      </w:pPr>
      <w:r w:rsidRPr="00F134FF">
        <w:rPr>
          <w:rFonts w:ascii="Times New Roman" w:hAnsi="Times New Roman" w:cs="Times New Roman"/>
          <w:sz w:val="15"/>
          <w:szCs w:val="15"/>
        </w:rPr>
        <w:t xml:space="preserve">Data are presented as Spearman correlation coefficients (ρ) describing pairwise associations among inflammatory, metabolic, and cardiorenal biomarkers. The corresponding </w:t>
      </w:r>
      <w:r w:rsidRPr="00F134FF">
        <w:rPr>
          <w:rFonts w:ascii="Times New Roman" w:hAnsi="Times New Roman" w:cs="Times New Roman"/>
          <w:i/>
          <w:sz w:val="15"/>
          <w:szCs w:val="15"/>
        </w:rPr>
        <w:t>p</w:t>
      </w:r>
      <w:r w:rsidRPr="00F134FF">
        <w:rPr>
          <w:rFonts w:ascii="Times New Roman" w:hAnsi="Times New Roman" w:cs="Times New Roman"/>
          <w:sz w:val="15"/>
          <w:szCs w:val="15"/>
        </w:rPr>
        <w:t xml:space="preserve"> values for each correlation are provided in Supplementary Table 2. All correlations were evaluated using two-sided Spearman rank correlation tests.</w:t>
      </w:r>
    </w:p>
    <w:p w:rsidR="00F134FF" w:rsidRDefault="00F134FF">
      <w:pPr>
        <w:rPr>
          <w:rFonts w:ascii="Times New Roman" w:hAnsi="Times New Roman" w:cs="Times New Roman" w:hint="eastAsia"/>
          <w:szCs w:val="21"/>
        </w:rPr>
      </w:pPr>
    </w:p>
    <w:p w:rsidR="00E917D3" w:rsidRDefault="00E917D3">
      <w:pPr>
        <w:rPr>
          <w:rFonts w:ascii="Times New Roman" w:hAnsi="Times New Roman" w:cs="Times New Roman"/>
          <w:szCs w:val="21"/>
        </w:rPr>
      </w:pPr>
    </w:p>
    <w:p w:rsidR="001414B3" w:rsidRPr="001414B3" w:rsidRDefault="001414B3" w:rsidP="001414B3">
      <w:pPr>
        <w:jc w:val="center"/>
        <w:rPr>
          <w:rFonts w:ascii="Times New Roman" w:hAnsi="Times New Roman" w:cs="Times New Roman"/>
          <w:szCs w:val="21"/>
        </w:rPr>
      </w:pPr>
      <w:r w:rsidRPr="0014469A">
        <w:rPr>
          <w:rFonts w:ascii="Times New Roman" w:hAnsi="Times New Roman" w:cs="Times New Roman"/>
          <w:szCs w:val="21"/>
        </w:rPr>
        <w:t>Sup</w:t>
      </w:r>
      <w:r>
        <w:rPr>
          <w:rFonts w:ascii="Times New Roman" w:hAnsi="Times New Roman" w:cs="Times New Roman"/>
          <w:szCs w:val="21"/>
        </w:rPr>
        <w:t xml:space="preserve">plementary Table 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. </w:t>
      </w:r>
      <w:r w:rsidR="00DF02A2" w:rsidRPr="00DF02A2">
        <w:rPr>
          <w:rFonts w:ascii="Times New Roman" w:hAnsi="Times New Roman" w:cs="Times New Roman"/>
          <w:szCs w:val="21"/>
        </w:rPr>
        <w:t xml:space="preserve">Corresponding </w:t>
      </w:r>
      <w:r w:rsidR="00DF02A2" w:rsidRPr="00DF02A2">
        <w:rPr>
          <w:rFonts w:ascii="Times New Roman" w:hAnsi="Times New Roman" w:cs="Times New Roman"/>
          <w:i/>
          <w:szCs w:val="21"/>
        </w:rPr>
        <w:t>p</w:t>
      </w:r>
      <w:r w:rsidR="00DF02A2" w:rsidRPr="00DF02A2">
        <w:rPr>
          <w:rFonts w:ascii="Times New Roman" w:hAnsi="Times New Roman" w:cs="Times New Roman"/>
          <w:szCs w:val="21"/>
        </w:rPr>
        <w:t xml:space="preserve"> values for pairwise Spearman correlations among inflammatory, metabolic, and cardiorenal biomarkers</w:t>
      </w:r>
    </w:p>
    <w:tbl>
      <w:tblPr>
        <w:tblStyle w:val="a6"/>
        <w:tblW w:w="12111" w:type="dxa"/>
        <w:jc w:val="center"/>
        <w:tblInd w:w="-1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1414B3" w:rsidRPr="003E7CA6" w:rsidTr="001414B3">
        <w:trPr>
          <w:trHeight w:val="624"/>
          <w:jc w:val="center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4469A">
              <w:rPr>
                <w:rFonts w:ascii="Times New Roman" w:hAnsi="Times New Roman" w:cs="Times New Roman"/>
                <w:szCs w:val="21"/>
              </w:rPr>
              <w:t>Biomar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14469A">
              <w:rPr>
                <w:rFonts w:ascii="Times New Roman" w:hAnsi="Times New Roman" w:cs="Times New Roman"/>
                <w:szCs w:val="21"/>
              </w:rPr>
              <w:t>kers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hs-</w:t>
            </w:r>
          </w:p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FPG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HbA1c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TG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Lp(a)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CK-</w:t>
            </w:r>
          </w:p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MB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hs-</w:t>
            </w:r>
          </w:p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cTnT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NT-proBNP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eGFR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uPRO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uCr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mALB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hs-</w:t>
            </w:r>
          </w:p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1414B3" w:rsidP="004371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43712D">
              <w:rPr>
                <w:rFonts w:ascii="Times New Roman" w:hAnsi="Times New Roman" w:cs="Times New Roman" w:hint="eastAsia"/>
                <w:szCs w:val="21"/>
              </w:rPr>
              <w:t>176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top w:val="single" w:sz="4" w:space="0" w:color="auto"/>
            </w:tcBorders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PCT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0.224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4371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43712D">
              <w:rPr>
                <w:rFonts w:ascii="Times New Roman" w:hAnsi="Times New Roman" w:cs="Times New Roman" w:hint="eastAsia"/>
                <w:szCs w:val="21"/>
              </w:rPr>
              <w:t>397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FPG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0.293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0.510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5B5E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5B5EA7">
              <w:rPr>
                <w:rFonts w:ascii="Times New Roman" w:hAnsi="Times New Roman" w:cs="Times New Roman" w:hint="eastAsia"/>
                <w:szCs w:val="21"/>
              </w:rPr>
              <w:t>514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0.089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0.925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0.054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HbA1c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0.054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0.538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5B5E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5B5EA7">
              <w:rPr>
                <w:rFonts w:ascii="Times New Roman" w:hAnsi="Times New Roman" w:cs="Times New Roman" w:hint="eastAsia"/>
                <w:szCs w:val="21"/>
              </w:rPr>
              <w:t>562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0.114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F44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1F44F4">
              <w:rPr>
                <w:rFonts w:ascii="Times New Roman" w:hAnsi="Times New Roman" w:cs="Times New Roman" w:hint="eastAsia"/>
                <w:szCs w:val="21"/>
              </w:rPr>
              <w:t>446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AF5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TG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0.595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0.864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0.078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Lp(a)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0.224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0.293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0.054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0.1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5B5E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5B5EA7">
              <w:rPr>
                <w:rFonts w:ascii="Times New Roman" w:hAnsi="Times New Roman" w:cs="Times New Roman" w:hint="eastAsia"/>
                <w:szCs w:val="21"/>
              </w:rPr>
              <w:t>066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0.164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CK-</w:t>
            </w:r>
          </w:p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MB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176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4371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43712D">
              <w:rPr>
                <w:rFonts w:ascii="Times New Roman" w:hAnsi="Times New Roman" w:cs="Times New Roman" w:hint="eastAsia"/>
                <w:szCs w:val="21"/>
              </w:rPr>
              <w:t>397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4371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43712D">
              <w:rPr>
                <w:rFonts w:ascii="Times New Roman" w:hAnsi="Times New Roman" w:cs="Times New Roman" w:hint="eastAsia"/>
                <w:szCs w:val="21"/>
              </w:rPr>
              <w:t>510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4371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43712D">
              <w:rPr>
                <w:rFonts w:ascii="Times New Roman" w:hAnsi="Times New Roman" w:cs="Times New Roman" w:hint="eastAsia"/>
                <w:szCs w:val="21"/>
              </w:rPr>
              <w:t>538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4371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43712D">
              <w:rPr>
                <w:rFonts w:ascii="Times New Roman" w:hAnsi="Times New Roman" w:cs="Times New Roman" w:hint="eastAsia"/>
                <w:szCs w:val="21"/>
              </w:rPr>
              <w:t>595</w:t>
            </w:r>
          </w:p>
        </w:tc>
        <w:tc>
          <w:tcPr>
            <w:tcW w:w="865" w:type="dxa"/>
            <w:vAlign w:val="center"/>
          </w:tcPr>
          <w:p w:rsidR="001414B3" w:rsidRPr="003E7CA6" w:rsidRDefault="0043712D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0.149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hs-</w:t>
            </w:r>
          </w:p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cTnT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066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NT-proBNP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514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5B5E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5B5EA7">
              <w:rPr>
                <w:rFonts w:ascii="Times New Roman" w:hAnsi="Times New Roman" w:cs="Times New Roman" w:hint="eastAsia"/>
                <w:szCs w:val="21"/>
              </w:rPr>
              <w:t>562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0.864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DF0E45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eGFR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5B5EA7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0.089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0.114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0.078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DF0E45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uPRO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0.925</w:t>
            </w:r>
          </w:p>
        </w:tc>
        <w:tc>
          <w:tcPr>
            <w:tcW w:w="865" w:type="dxa"/>
            <w:vAlign w:val="center"/>
          </w:tcPr>
          <w:p w:rsidR="001414B3" w:rsidRPr="003E7CA6" w:rsidRDefault="001414B3" w:rsidP="001F44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1F44F4">
              <w:rPr>
                <w:rFonts w:ascii="Times New Roman" w:hAnsi="Times New Roman" w:cs="Times New Roman" w:hint="eastAsia"/>
                <w:szCs w:val="21"/>
              </w:rPr>
              <w:t>446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1F44F4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DF0E45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6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uCr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0.164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0.149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vAlign w:val="center"/>
          </w:tcPr>
          <w:p w:rsidR="001414B3" w:rsidRPr="003E7CA6" w:rsidRDefault="00DF0E45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866" w:type="dxa"/>
            <w:vAlign w:val="center"/>
          </w:tcPr>
          <w:p w:rsidR="001414B3" w:rsidRPr="003E7CA6" w:rsidRDefault="001414B3" w:rsidP="00AF5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AF5ECA">
              <w:rPr>
                <w:rFonts w:ascii="Times New Roman" w:hAnsi="Times New Roman" w:cs="Times New Roman" w:hint="eastAsia"/>
                <w:szCs w:val="21"/>
              </w:rPr>
              <w:t>423</w:t>
            </w:r>
          </w:p>
        </w:tc>
      </w:tr>
      <w:tr w:rsidR="001414B3" w:rsidRPr="003E7CA6" w:rsidTr="001414B3">
        <w:trPr>
          <w:trHeight w:val="624"/>
          <w:jc w:val="center"/>
        </w:trPr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1414B3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lastRenderedPageBreak/>
              <w:t>mALB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1414B3" w:rsidP="00AF5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AF5ECA">
              <w:rPr>
                <w:rFonts w:ascii="Times New Roman" w:hAnsi="Times New Roman" w:cs="Times New Roman" w:hint="eastAsia"/>
                <w:szCs w:val="21"/>
              </w:rPr>
              <w:t>054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0.05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AF5ECA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414B3" w:rsidRPr="003E7CA6" w:rsidRDefault="001414B3" w:rsidP="00AF5E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E7CA6">
              <w:rPr>
                <w:rFonts w:ascii="Times New Roman" w:hAnsi="Times New Roman" w:cs="Times New Roman"/>
                <w:szCs w:val="21"/>
              </w:rPr>
              <w:t>0.</w:t>
            </w:r>
            <w:r w:rsidR="00AF5ECA">
              <w:rPr>
                <w:rFonts w:ascii="Times New Roman" w:hAnsi="Times New Roman" w:cs="Times New Roman" w:hint="eastAsia"/>
                <w:szCs w:val="21"/>
              </w:rPr>
              <w:t>423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1414B3" w:rsidRPr="003E7CA6" w:rsidRDefault="00DF0E45" w:rsidP="001414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</w:tbl>
    <w:p w:rsidR="001414B3" w:rsidRPr="00DF02A2" w:rsidRDefault="00DF02A2">
      <w:pPr>
        <w:rPr>
          <w:rFonts w:ascii="Times New Roman" w:hAnsi="Times New Roman" w:cs="Times New Roman"/>
          <w:sz w:val="15"/>
          <w:szCs w:val="15"/>
        </w:rPr>
      </w:pPr>
      <w:r w:rsidRPr="00DF02A2">
        <w:rPr>
          <w:rFonts w:ascii="Times New Roman" w:hAnsi="Times New Roman" w:cs="Times New Roman"/>
          <w:sz w:val="15"/>
          <w:szCs w:val="15"/>
        </w:rPr>
        <w:t xml:space="preserve">Data are presented as </w:t>
      </w:r>
      <w:r w:rsidRPr="00DF02A2">
        <w:rPr>
          <w:rFonts w:ascii="Times New Roman" w:hAnsi="Times New Roman" w:cs="Times New Roman"/>
          <w:i/>
          <w:sz w:val="15"/>
          <w:szCs w:val="15"/>
        </w:rPr>
        <w:t>p</w:t>
      </w:r>
      <w:r w:rsidRPr="00DF02A2">
        <w:rPr>
          <w:rFonts w:ascii="Times New Roman" w:hAnsi="Times New Roman" w:cs="Times New Roman"/>
          <w:sz w:val="15"/>
          <w:szCs w:val="15"/>
        </w:rPr>
        <w:t xml:space="preserve"> values corresponding to the pairwise Spearman correlation coefficients (ρ) reported in Supplementary Table 1. All correlations were evaluated using two-sided Spearman rank correlation tests. Diagonal elements represent self-correlations and are therefore not applicable (</w:t>
      </w:r>
      <w:r w:rsidRPr="00DF02A2">
        <w:rPr>
          <w:rFonts w:ascii="Times New Roman" w:hAnsi="Times New Roman" w:cs="Times New Roman" w:hint="eastAsia"/>
          <w:sz w:val="15"/>
          <w:szCs w:val="15"/>
        </w:rPr>
        <w:t>-</w:t>
      </w:r>
      <w:r w:rsidRPr="00DF02A2">
        <w:rPr>
          <w:rFonts w:ascii="Times New Roman" w:hAnsi="Times New Roman" w:cs="Times New Roman"/>
          <w:sz w:val="15"/>
          <w:szCs w:val="15"/>
        </w:rPr>
        <w:t>).</w:t>
      </w:r>
    </w:p>
    <w:p w:rsidR="001414B3" w:rsidRDefault="001414B3">
      <w:pPr>
        <w:rPr>
          <w:rFonts w:ascii="Times New Roman" w:hAnsi="Times New Roman" w:cs="Times New Roman"/>
          <w:szCs w:val="21"/>
        </w:rPr>
      </w:pPr>
    </w:p>
    <w:p w:rsidR="00F134FF" w:rsidRPr="001414B3" w:rsidRDefault="00F134FF">
      <w:pPr>
        <w:rPr>
          <w:rFonts w:ascii="Times New Roman" w:hAnsi="Times New Roman" w:cs="Times New Roman"/>
          <w:szCs w:val="21"/>
        </w:rPr>
      </w:pPr>
    </w:p>
    <w:p w:rsidR="00DF0235" w:rsidRDefault="00DF0235" w:rsidP="00DF0235">
      <w:pPr>
        <w:jc w:val="center"/>
        <w:rPr>
          <w:rFonts w:ascii="Times New Roman" w:hAnsi="Times New Roman" w:cs="Times New Roman"/>
          <w:szCs w:val="21"/>
        </w:rPr>
      </w:pPr>
      <w:r w:rsidRPr="0014469A">
        <w:rPr>
          <w:rFonts w:ascii="Times New Roman" w:hAnsi="Times New Roman" w:cs="Times New Roman"/>
          <w:szCs w:val="21"/>
        </w:rPr>
        <w:t>Sup</w:t>
      </w:r>
      <w:r>
        <w:rPr>
          <w:rFonts w:ascii="Times New Roman" w:hAnsi="Times New Roman" w:cs="Times New Roman"/>
          <w:szCs w:val="21"/>
        </w:rPr>
        <w:t xml:space="preserve">plementary Table </w:t>
      </w:r>
      <w:r w:rsidR="00DF02A2"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 xml:space="preserve">. </w:t>
      </w:r>
      <w:r w:rsidRPr="00DF0235">
        <w:rPr>
          <w:rFonts w:ascii="Times New Roman" w:hAnsi="Times New Roman" w:cs="Times New Roman"/>
          <w:szCs w:val="21"/>
        </w:rPr>
        <w:t>Multivariable linear regression analysis of factors independently associated with PTX3 levels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598"/>
        <w:gridCol w:w="1521"/>
        <w:gridCol w:w="1701"/>
        <w:gridCol w:w="1039"/>
        <w:gridCol w:w="1421"/>
      </w:tblGrid>
      <w:tr w:rsidR="00DF0235" w:rsidTr="00FC77D8"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DF0235" w:rsidRDefault="00DF0235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F0235">
              <w:rPr>
                <w:rFonts w:ascii="Times New Roman" w:hAnsi="Times New Roman" w:cs="Times New Roman"/>
                <w:szCs w:val="21"/>
              </w:rPr>
              <w:t>Variable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DF0235" w:rsidRDefault="00DF0235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β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(SE)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DF0235" w:rsidRPr="00DF0235" w:rsidRDefault="00DF0235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F0235">
              <w:rPr>
                <w:rFonts w:ascii="Times New Roman" w:hAnsi="Times New Roman" w:cs="Times New Roman"/>
                <w:szCs w:val="21"/>
              </w:rPr>
              <w:t>Standardized 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0235" w:rsidRDefault="00DF0235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F0235">
              <w:rPr>
                <w:rFonts w:ascii="Times New Roman" w:hAnsi="Times New Roman" w:cs="Times New Roman"/>
                <w:szCs w:val="21"/>
              </w:rPr>
              <w:t>95% CI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DF0235" w:rsidRDefault="00DF0235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VIF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DF0235" w:rsidRDefault="00DF0235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F0235">
              <w:rPr>
                <w:rFonts w:ascii="Times New Roman" w:hAnsi="Times New Roman" w:cs="Times New Roman" w:hint="eastAsia"/>
                <w:i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DF0235">
              <w:rPr>
                <w:rFonts w:ascii="Times New Roman" w:hAnsi="Times New Roman" w:cs="Times New Roman"/>
                <w:szCs w:val="21"/>
              </w:rPr>
              <w:t>value</w:t>
            </w:r>
          </w:p>
        </w:tc>
      </w:tr>
      <w:tr w:rsidR="00DF0235" w:rsidTr="00FC77D8">
        <w:tc>
          <w:tcPr>
            <w:tcW w:w="1242" w:type="dxa"/>
            <w:tcBorders>
              <w:top w:val="single" w:sz="4" w:space="0" w:color="auto"/>
            </w:tcBorders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Age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0.494</w:t>
            </w:r>
            <w:r w:rsidR="002A0AAF">
              <w:rPr>
                <w:rFonts w:ascii="Times New Roman" w:hAnsi="Times New Roman" w:cs="Times New Roman" w:hint="eastAsia"/>
                <w:szCs w:val="21"/>
              </w:rPr>
              <w:t xml:space="preserve"> (0.16</w:t>
            </w:r>
            <w:r w:rsidR="00624424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2A0AAF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0.19</w:t>
            </w:r>
            <w:r w:rsidR="00E55CAF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</w:t>
            </w:r>
            <w:r w:rsidR="00F2643D">
              <w:rPr>
                <w:rFonts w:ascii="Times New Roman" w:hAnsi="Times New Roman" w:cs="Times New Roman" w:hint="eastAsia"/>
                <w:szCs w:val="21"/>
              </w:rPr>
              <w:t>77</w:t>
            </w:r>
            <w:r w:rsidR="00624424">
              <w:rPr>
                <w:rFonts w:ascii="Times New Roman" w:hAnsi="Times New Roman" w:cs="Times New Roman" w:hint="eastAsia"/>
                <w:szCs w:val="21"/>
              </w:rPr>
              <w:t xml:space="preserve"> to 0.81</w:t>
            </w:r>
            <w:r w:rsidR="00E55CAF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1.377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F0235" w:rsidRDefault="00E55C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0.002</w:t>
            </w:r>
          </w:p>
        </w:tc>
      </w:tr>
      <w:tr w:rsidR="00DF0235" w:rsidTr="00FC77D8">
        <w:tc>
          <w:tcPr>
            <w:tcW w:w="1242" w:type="dxa"/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Sex</w:t>
            </w:r>
          </w:p>
        </w:tc>
        <w:tc>
          <w:tcPr>
            <w:tcW w:w="1598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13.291</w:t>
            </w:r>
            <w:r w:rsidR="0062442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(3.695</w:t>
            </w:r>
            <w:r w:rsidR="002A0AAF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21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0.194</w:t>
            </w:r>
          </w:p>
        </w:tc>
        <w:tc>
          <w:tcPr>
            <w:tcW w:w="1701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6.011 to 20.571</w:t>
            </w:r>
          </w:p>
        </w:tc>
        <w:tc>
          <w:tcPr>
            <w:tcW w:w="1039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1.034</w:t>
            </w:r>
          </w:p>
        </w:tc>
        <w:tc>
          <w:tcPr>
            <w:tcW w:w="1421" w:type="dxa"/>
          </w:tcPr>
          <w:p w:rsidR="00DF0235" w:rsidRDefault="00E55C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F2643D" w:rsidTr="00FC77D8">
        <w:tc>
          <w:tcPr>
            <w:tcW w:w="1242" w:type="dxa"/>
          </w:tcPr>
          <w:p w:rsidR="00F2643D" w:rsidRDefault="00F2643D" w:rsidP="00DF023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BMI</w:t>
            </w:r>
          </w:p>
        </w:tc>
        <w:tc>
          <w:tcPr>
            <w:tcW w:w="1598" w:type="dxa"/>
          </w:tcPr>
          <w:p w:rsidR="00F2643D" w:rsidRDefault="00F2643D" w:rsidP="00DF023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0.227 (0.578)</w:t>
            </w:r>
          </w:p>
        </w:tc>
        <w:tc>
          <w:tcPr>
            <w:tcW w:w="1521" w:type="dxa"/>
          </w:tcPr>
          <w:p w:rsidR="00F2643D" w:rsidRDefault="00F2643D" w:rsidP="00DF023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0.022</w:t>
            </w:r>
          </w:p>
        </w:tc>
        <w:tc>
          <w:tcPr>
            <w:tcW w:w="1701" w:type="dxa"/>
          </w:tcPr>
          <w:p w:rsidR="00F2643D" w:rsidRDefault="00F2643D" w:rsidP="00DF023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-0.912 to 1.365</w:t>
            </w:r>
          </w:p>
        </w:tc>
        <w:tc>
          <w:tcPr>
            <w:tcW w:w="1039" w:type="dxa"/>
          </w:tcPr>
          <w:p w:rsidR="00F2643D" w:rsidRDefault="00F2643D" w:rsidP="00DF023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1.154</w:t>
            </w:r>
          </w:p>
        </w:tc>
        <w:tc>
          <w:tcPr>
            <w:tcW w:w="1421" w:type="dxa"/>
          </w:tcPr>
          <w:p w:rsidR="00F2643D" w:rsidRDefault="00F2643D" w:rsidP="00DF023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0.695</w:t>
            </w:r>
          </w:p>
        </w:tc>
      </w:tr>
      <w:tr w:rsidR="00DF0235" w:rsidTr="00FC77D8">
        <w:tc>
          <w:tcPr>
            <w:tcW w:w="1242" w:type="dxa"/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SBP</w:t>
            </w:r>
          </w:p>
        </w:tc>
        <w:tc>
          <w:tcPr>
            <w:tcW w:w="1598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0.198</w:t>
            </w:r>
            <w:r w:rsidR="002A0AAF">
              <w:rPr>
                <w:rFonts w:ascii="Times New Roman" w:hAnsi="Times New Roman" w:cs="Times New Roman" w:hint="eastAsia"/>
                <w:szCs w:val="21"/>
              </w:rPr>
              <w:t xml:space="preserve"> (0.11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="002A0AAF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21" w:type="dxa"/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0.10</w:t>
            </w:r>
            <w:r w:rsidR="00F2643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701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-0.029</w:t>
            </w:r>
            <w:r w:rsidR="00624424">
              <w:rPr>
                <w:rFonts w:ascii="Times New Roman" w:hAnsi="Times New Roman" w:cs="Times New Roman" w:hint="eastAsia"/>
                <w:szCs w:val="21"/>
              </w:rPr>
              <w:t xml:space="preserve"> to </w:t>
            </w:r>
            <w:r>
              <w:rPr>
                <w:rFonts w:ascii="Times New Roman" w:hAnsi="Times New Roman" w:cs="Times New Roman" w:hint="eastAsia"/>
                <w:szCs w:val="21"/>
              </w:rPr>
              <w:t>0.425</w:t>
            </w:r>
          </w:p>
        </w:tc>
        <w:tc>
          <w:tcPr>
            <w:tcW w:w="1039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1.217</w:t>
            </w:r>
          </w:p>
        </w:tc>
        <w:tc>
          <w:tcPr>
            <w:tcW w:w="1421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0.087</w:t>
            </w:r>
          </w:p>
        </w:tc>
      </w:tr>
      <w:tr w:rsidR="00DF0235" w:rsidTr="00FC77D8">
        <w:tc>
          <w:tcPr>
            <w:tcW w:w="1242" w:type="dxa"/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FPG</w:t>
            </w:r>
          </w:p>
        </w:tc>
        <w:tc>
          <w:tcPr>
            <w:tcW w:w="1598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3.198 (0.642</w:t>
            </w:r>
            <w:r w:rsidR="002A0AAF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21" w:type="dxa"/>
          </w:tcPr>
          <w:p w:rsidR="00DF0235" w:rsidRDefault="00F2643D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0.281</w:t>
            </w:r>
          </w:p>
        </w:tc>
        <w:tc>
          <w:tcPr>
            <w:tcW w:w="1701" w:type="dxa"/>
          </w:tcPr>
          <w:p w:rsidR="00DF0235" w:rsidRDefault="00EB5244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1.933</w:t>
            </w:r>
            <w:r w:rsidR="00624424">
              <w:rPr>
                <w:rFonts w:ascii="Times New Roman" w:hAnsi="Times New Roman" w:cs="Times New Roman" w:hint="eastAsia"/>
                <w:szCs w:val="21"/>
              </w:rPr>
              <w:t xml:space="preserve"> to </w:t>
            </w:r>
            <w:r>
              <w:rPr>
                <w:rFonts w:ascii="Times New Roman" w:hAnsi="Times New Roman" w:cs="Times New Roman" w:hint="eastAsia"/>
                <w:szCs w:val="21"/>
              </w:rPr>
              <w:t>4.464</w:t>
            </w:r>
          </w:p>
        </w:tc>
        <w:tc>
          <w:tcPr>
            <w:tcW w:w="1039" w:type="dxa"/>
          </w:tcPr>
          <w:p w:rsidR="00DF0235" w:rsidRDefault="00EB5244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1.137</w:t>
            </w:r>
          </w:p>
        </w:tc>
        <w:tc>
          <w:tcPr>
            <w:tcW w:w="1421" w:type="dxa"/>
          </w:tcPr>
          <w:p w:rsidR="00DF0235" w:rsidRDefault="00E55C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&lt; 0.001</w:t>
            </w:r>
          </w:p>
        </w:tc>
      </w:tr>
      <w:tr w:rsidR="00DF0235" w:rsidTr="00FC77D8">
        <w:tc>
          <w:tcPr>
            <w:tcW w:w="1242" w:type="dxa"/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hs-cTnT</w:t>
            </w:r>
          </w:p>
        </w:tc>
        <w:tc>
          <w:tcPr>
            <w:tcW w:w="1598" w:type="dxa"/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0.07</w:t>
            </w:r>
            <w:r w:rsidR="00EB5244"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624424">
              <w:rPr>
                <w:rFonts w:ascii="Times New Roman" w:hAnsi="Times New Roman" w:cs="Times New Roman" w:hint="eastAsia"/>
                <w:szCs w:val="21"/>
              </w:rPr>
              <w:t>0.037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21" w:type="dxa"/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0.12</w:t>
            </w:r>
            <w:r w:rsidR="00EB5244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701" w:type="dxa"/>
          </w:tcPr>
          <w:p w:rsidR="00DF0235" w:rsidRDefault="00624424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0.00</w:t>
            </w:r>
            <w:r w:rsidR="00EB5244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to 0.14</w:t>
            </w:r>
            <w:r w:rsidR="00EB5244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039" w:type="dxa"/>
          </w:tcPr>
          <w:p w:rsidR="00DF0235" w:rsidRDefault="00EB5244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1.381</w:t>
            </w:r>
          </w:p>
        </w:tc>
        <w:tc>
          <w:tcPr>
            <w:tcW w:w="1421" w:type="dxa"/>
          </w:tcPr>
          <w:p w:rsidR="00DF0235" w:rsidRDefault="00EB5244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0.048</w:t>
            </w:r>
          </w:p>
        </w:tc>
      </w:tr>
      <w:tr w:rsidR="00DF0235" w:rsidTr="00FC77D8">
        <w:tc>
          <w:tcPr>
            <w:tcW w:w="1242" w:type="dxa"/>
            <w:tcBorders>
              <w:bottom w:val="single" w:sz="4" w:space="0" w:color="auto"/>
            </w:tcBorders>
          </w:tcPr>
          <w:p w:rsidR="00DF0235" w:rsidRDefault="002A0A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eGFR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DF0235" w:rsidRDefault="00EB5244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-0.203</w:t>
            </w:r>
            <w:r w:rsidR="00624424">
              <w:rPr>
                <w:rFonts w:ascii="Times New Roman" w:hAnsi="Times New Roman" w:cs="Times New Roman" w:hint="eastAsia"/>
                <w:szCs w:val="21"/>
              </w:rPr>
              <w:t xml:space="preserve"> (0.086</w:t>
            </w:r>
            <w:r w:rsidR="002A0AAF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DF0235" w:rsidRDefault="00E55CAF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EB5244">
              <w:rPr>
                <w:rFonts w:ascii="Times New Roman" w:hAnsi="Times New Roman" w:cs="Times New Roman" w:hint="eastAsia"/>
                <w:szCs w:val="21"/>
              </w:rPr>
              <w:t>0.163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0235" w:rsidRDefault="00EB5244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-0.373</w:t>
            </w:r>
            <w:r w:rsidR="00E55CA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624424">
              <w:rPr>
                <w:rFonts w:ascii="Times New Roman" w:hAnsi="Times New Roman" w:cs="Times New Roman" w:hint="eastAsia"/>
                <w:szCs w:val="21"/>
              </w:rPr>
              <w:t>to -0.</w:t>
            </w:r>
            <w:r>
              <w:rPr>
                <w:rFonts w:ascii="Times New Roman" w:hAnsi="Times New Roman" w:cs="Times New Roman" w:hint="eastAsia"/>
                <w:szCs w:val="21"/>
              </w:rPr>
              <w:t>034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DF0235" w:rsidRDefault="00EB5244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1.712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DF0235" w:rsidRDefault="00EB5244" w:rsidP="00DF02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0.019</w:t>
            </w:r>
          </w:p>
        </w:tc>
      </w:tr>
    </w:tbl>
    <w:p w:rsidR="00DF0235" w:rsidRPr="00504DCC" w:rsidRDefault="00FC77D8" w:rsidP="00FC77D8">
      <w:pPr>
        <w:rPr>
          <w:rFonts w:ascii="Times New Roman" w:hAnsi="Times New Roman" w:cs="Times New Roman"/>
          <w:sz w:val="15"/>
          <w:szCs w:val="15"/>
        </w:rPr>
      </w:pPr>
      <w:r w:rsidRPr="00504DCC">
        <w:rPr>
          <w:rFonts w:ascii="Times New Roman" w:hAnsi="Times New Roman" w:cs="Times New Roman"/>
          <w:sz w:val="15"/>
          <w:szCs w:val="15"/>
        </w:rPr>
        <w:t xml:space="preserve">PTX3 was treated as the dependent variable. Age, </w:t>
      </w:r>
      <w:r w:rsidR="00504DCC" w:rsidRPr="00504DCC">
        <w:rPr>
          <w:rFonts w:ascii="Times New Roman" w:hAnsi="Times New Roman" w:cs="Times New Roman" w:hint="eastAsia"/>
          <w:sz w:val="15"/>
          <w:szCs w:val="15"/>
        </w:rPr>
        <w:t>S</w:t>
      </w:r>
      <w:r w:rsidRPr="00504DCC">
        <w:rPr>
          <w:rFonts w:ascii="Times New Roman" w:hAnsi="Times New Roman" w:cs="Times New Roman"/>
          <w:sz w:val="15"/>
          <w:szCs w:val="15"/>
        </w:rPr>
        <w:t xml:space="preserve">ex, </w:t>
      </w:r>
      <w:r w:rsidR="00EB5244">
        <w:rPr>
          <w:rFonts w:ascii="Times New Roman" w:hAnsi="Times New Roman" w:cs="Times New Roman" w:hint="eastAsia"/>
          <w:sz w:val="15"/>
          <w:szCs w:val="15"/>
        </w:rPr>
        <w:t xml:space="preserve">BMI, SBP, </w:t>
      </w:r>
      <w:r w:rsidR="00504DCC" w:rsidRPr="00504DCC">
        <w:rPr>
          <w:rFonts w:ascii="Times New Roman" w:hAnsi="Times New Roman" w:cs="Times New Roman"/>
          <w:sz w:val="15"/>
          <w:szCs w:val="15"/>
        </w:rPr>
        <w:t>FPG</w:t>
      </w:r>
      <w:r w:rsidR="00EB5244">
        <w:rPr>
          <w:rFonts w:ascii="Times New Roman" w:hAnsi="Times New Roman" w:cs="Times New Roman"/>
          <w:sz w:val="15"/>
          <w:szCs w:val="15"/>
        </w:rPr>
        <w:t>,</w:t>
      </w:r>
      <w:r w:rsidR="00EB5244">
        <w:rPr>
          <w:rFonts w:ascii="Times New Roman" w:hAnsi="Times New Roman" w:cs="Times New Roman" w:hint="eastAsia"/>
          <w:sz w:val="15"/>
          <w:szCs w:val="15"/>
        </w:rPr>
        <w:t xml:space="preserve"> hs-cTnT</w:t>
      </w:r>
      <w:r w:rsidRPr="00504DCC">
        <w:rPr>
          <w:rFonts w:ascii="Times New Roman" w:hAnsi="Times New Roman" w:cs="Times New Roman"/>
          <w:sz w:val="15"/>
          <w:szCs w:val="15"/>
        </w:rPr>
        <w:t xml:space="preserve"> and </w:t>
      </w:r>
      <w:r w:rsidR="00EB5244">
        <w:rPr>
          <w:rFonts w:ascii="Times New Roman" w:hAnsi="Times New Roman" w:cs="Times New Roman" w:hint="eastAsia"/>
          <w:sz w:val="15"/>
          <w:szCs w:val="15"/>
        </w:rPr>
        <w:t>eGFR</w:t>
      </w:r>
      <w:r w:rsidRPr="00504DCC">
        <w:rPr>
          <w:rFonts w:ascii="Times New Roman" w:hAnsi="Times New Roman" w:cs="Times New Roman"/>
          <w:sz w:val="15"/>
          <w:szCs w:val="15"/>
        </w:rPr>
        <w:t xml:space="preserve"> were entered simultaneously as independent variables in the multivariable linear regression model. β represents the unstandardized regression coefficient, and SE indicates the standard error. Standardized β represents the standardized regression coefficient. VIF, variance inflation factor. All VIF values were &lt;</w:t>
      </w:r>
      <w:r w:rsidRPr="00504DCC"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Pr="00504DCC">
        <w:rPr>
          <w:rFonts w:ascii="Times New Roman" w:hAnsi="Times New Roman" w:cs="Times New Roman"/>
          <w:sz w:val="15"/>
          <w:szCs w:val="15"/>
        </w:rPr>
        <w:t>5, indicating no evidence of problematic multicollinearity.</w:t>
      </w:r>
    </w:p>
    <w:p w:rsidR="00A15C41" w:rsidRPr="00DF0235" w:rsidRDefault="00A15C41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A15C41" w:rsidRPr="00DF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D7" w:rsidRDefault="000F40D7" w:rsidP="00A15C41">
      <w:r>
        <w:separator/>
      </w:r>
    </w:p>
  </w:endnote>
  <w:endnote w:type="continuationSeparator" w:id="0">
    <w:p w:rsidR="000F40D7" w:rsidRDefault="000F40D7" w:rsidP="00A1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D7" w:rsidRDefault="000F40D7" w:rsidP="00A15C41">
      <w:r>
        <w:separator/>
      </w:r>
    </w:p>
  </w:footnote>
  <w:footnote w:type="continuationSeparator" w:id="0">
    <w:p w:rsidR="000F40D7" w:rsidRDefault="000F40D7" w:rsidP="00A15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DB"/>
    <w:rsid w:val="000F40D7"/>
    <w:rsid w:val="001414B3"/>
    <w:rsid w:val="0014469A"/>
    <w:rsid w:val="001F44F4"/>
    <w:rsid w:val="00217B47"/>
    <w:rsid w:val="002A0AAF"/>
    <w:rsid w:val="002E1630"/>
    <w:rsid w:val="002E6D31"/>
    <w:rsid w:val="003755F1"/>
    <w:rsid w:val="003C65CE"/>
    <w:rsid w:val="003E7CA6"/>
    <w:rsid w:val="0043712D"/>
    <w:rsid w:val="00465D54"/>
    <w:rsid w:val="00504DCC"/>
    <w:rsid w:val="00535704"/>
    <w:rsid w:val="005A6B14"/>
    <w:rsid w:val="005B5EA7"/>
    <w:rsid w:val="00622676"/>
    <w:rsid w:val="00624424"/>
    <w:rsid w:val="00680895"/>
    <w:rsid w:val="007F68D4"/>
    <w:rsid w:val="00876E1D"/>
    <w:rsid w:val="008E4E84"/>
    <w:rsid w:val="009702B4"/>
    <w:rsid w:val="009B525E"/>
    <w:rsid w:val="00A15C41"/>
    <w:rsid w:val="00A47A60"/>
    <w:rsid w:val="00A61CE9"/>
    <w:rsid w:val="00AB1638"/>
    <w:rsid w:val="00AB2BDB"/>
    <w:rsid w:val="00AF5162"/>
    <w:rsid w:val="00AF5ECA"/>
    <w:rsid w:val="00BD2E96"/>
    <w:rsid w:val="00CB5F9E"/>
    <w:rsid w:val="00D576FF"/>
    <w:rsid w:val="00D81E88"/>
    <w:rsid w:val="00D9036C"/>
    <w:rsid w:val="00DA21C9"/>
    <w:rsid w:val="00DF0235"/>
    <w:rsid w:val="00DF02A2"/>
    <w:rsid w:val="00DF0E45"/>
    <w:rsid w:val="00E55CAF"/>
    <w:rsid w:val="00E57DA8"/>
    <w:rsid w:val="00E917D3"/>
    <w:rsid w:val="00EB5244"/>
    <w:rsid w:val="00F134FF"/>
    <w:rsid w:val="00F2643D"/>
    <w:rsid w:val="00F80868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C4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C41"/>
    <w:rPr>
      <w:noProof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5C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5C41"/>
    <w:rPr>
      <w:noProof/>
      <w:sz w:val="18"/>
      <w:szCs w:val="18"/>
    </w:rPr>
  </w:style>
  <w:style w:type="table" w:styleId="a6">
    <w:name w:val="Table Grid"/>
    <w:basedOn w:val="a1"/>
    <w:uiPriority w:val="59"/>
    <w:rsid w:val="003E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C41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C41"/>
    <w:rPr>
      <w:noProof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5C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5C41"/>
    <w:rPr>
      <w:noProof/>
      <w:sz w:val="18"/>
      <w:szCs w:val="18"/>
    </w:rPr>
  </w:style>
  <w:style w:type="table" w:styleId="a6">
    <w:name w:val="Table Grid"/>
    <w:basedOn w:val="a1"/>
    <w:uiPriority w:val="59"/>
    <w:rsid w:val="003E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xuzhen1994</dc:creator>
  <cp:keywords/>
  <dc:description/>
  <cp:lastModifiedBy>xuzhen1994</cp:lastModifiedBy>
  <cp:revision>26</cp:revision>
  <dcterms:created xsi:type="dcterms:W3CDTF">2025-12-14T02:14:00Z</dcterms:created>
  <dcterms:modified xsi:type="dcterms:W3CDTF">2026-03-14T04:58:00Z</dcterms:modified>
</cp:coreProperties>
</file>