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80AE" w14:textId="77777777" w:rsidR="007D47F1" w:rsidRPr="007D47F1" w:rsidRDefault="007D47F1" w:rsidP="007D47F1">
      <w:pPr>
        <w:rPr>
          <w:b/>
          <w:bCs/>
        </w:rPr>
      </w:pPr>
      <w:r w:rsidRPr="007D47F1">
        <w:rPr>
          <w:b/>
          <w:bCs/>
        </w:rPr>
        <w:t>Nature Portfolio Reporting Summary</w:t>
      </w:r>
    </w:p>
    <w:p w14:paraId="0FEB888D" w14:textId="77777777" w:rsidR="007D47F1" w:rsidRDefault="007D47F1" w:rsidP="007D47F1"/>
    <w:p w14:paraId="59E24DEE" w14:textId="77777777" w:rsidR="007D47F1" w:rsidRPr="007D47F1" w:rsidRDefault="007D47F1" w:rsidP="007D47F1">
      <w:pPr>
        <w:rPr>
          <w:b/>
          <w:bCs/>
        </w:rPr>
      </w:pPr>
      <w:r w:rsidRPr="007D47F1">
        <w:rPr>
          <w:b/>
          <w:bCs/>
        </w:rPr>
        <w:t>Study design</w:t>
      </w:r>
    </w:p>
    <w:p w14:paraId="59D492F4" w14:textId="77777777" w:rsidR="007D47F1" w:rsidRDefault="007D47F1" w:rsidP="007D47F1">
      <w:r>
        <w:t xml:space="preserve">This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a </w:t>
      </w:r>
      <w:proofErr w:type="spellStart"/>
      <w:r>
        <w:t>preclinical</w:t>
      </w:r>
      <w:proofErr w:type="spellEnd"/>
      <w:r>
        <w:t xml:space="preserve"> in vivo </w:t>
      </w:r>
      <w:proofErr w:type="spellStart"/>
      <w:r>
        <w:t>study</w:t>
      </w:r>
      <w:proofErr w:type="spellEnd"/>
      <w:r>
        <w:t xml:space="preserve"> in a </w:t>
      </w:r>
      <w:proofErr w:type="spellStart"/>
      <w:r>
        <w:t>diet-induced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atherosclerosis</w:t>
      </w:r>
      <w:proofErr w:type="spellEnd"/>
      <w:r>
        <w:t xml:space="preserve">. Male LDLR−/− </w:t>
      </w:r>
      <w:proofErr w:type="spellStart"/>
      <w:r>
        <w:t>mice</w:t>
      </w:r>
      <w:proofErr w:type="spellEnd"/>
      <w:r>
        <w:t xml:space="preserve"> </w:t>
      </w:r>
      <w:proofErr w:type="spellStart"/>
      <w:r>
        <w:t>maintained</w:t>
      </w:r>
      <w:proofErr w:type="spellEnd"/>
      <w:r>
        <w:t xml:space="preserve"> on a </w:t>
      </w:r>
      <w:proofErr w:type="spellStart"/>
      <w:r>
        <w:t>cholesterol-containing</w:t>
      </w:r>
      <w:proofErr w:type="spellEnd"/>
      <w:r>
        <w:t xml:space="preserve"> Western-type </w:t>
      </w:r>
      <w:proofErr w:type="spellStart"/>
      <w:r>
        <w:t>diet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</w:t>
      </w:r>
      <w:proofErr w:type="spellStart"/>
      <w:r>
        <w:t>intravenously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10 </w:t>
      </w:r>
      <w:proofErr w:type="spellStart"/>
      <w:r>
        <w:t>consecutive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dual-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hyaluronidase</w:t>
      </w:r>
      <w:proofErr w:type="spellEnd"/>
      <w:r>
        <w:t xml:space="preserve"> D016 (7,500 </w:t>
      </w:r>
      <w:proofErr w:type="spellStart"/>
      <w:r>
        <w:t>or</w:t>
      </w:r>
      <w:proofErr w:type="spellEnd"/>
      <w:r>
        <w:t xml:space="preserve"> 750,000 U kg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¹</w:t>
      </w:r>
      <w:r>
        <w:t xml:space="preserve"> day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¹</w:t>
      </w:r>
      <w:r>
        <w:t xml:space="preserve">), </w:t>
      </w:r>
      <w:proofErr w:type="spellStart"/>
      <w:r>
        <w:t>followed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19-day post-treatment </w:t>
      </w:r>
      <w:proofErr w:type="spellStart"/>
      <w:r>
        <w:t>observation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. The </w:t>
      </w:r>
      <w:proofErr w:type="spellStart"/>
      <w:r>
        <w:t>pre-specified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endpoint</w:t>
      </w:r>
      <w:proofErr w:type="spellEnd"/>
      <w:r>
        <w:t xml:space="preserve"> was </w:t>
      </w:r>
      <w:proofErr w:type="spellStart"/>
      <w:r>
        <w:t>histological</w:t>
      </w:r>
      <w:proofErr w:type="spellEnd"/>
      <w:r>
        <w:t xml:space="preserve"> </w:t>
      </w:r>
      <w:proofErr w:type="spellStart"/>
      <w:r>
        <w:t>quantification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-root </w:t>
      </w:r>
      <w:proofErr w:type="spellStart"/>
      <w:r>
        <w:t>lesion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at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29.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>, body-</w:t>
      </w:r>
      <w:proofErr w:type="spellStart"/>
      <w:r>
        <w:t>weight</w:t>
      </w:r>
      <w:proofErr w:type="spellEnd"/>
      <w:r>
        <w:t xml:space="preserve"> </w:t>
      </w:r>
      <w:proofErr w:type="spellStart"/>
      <w:r>
        <w:t>trajectories</w:t>
      </w:r>
      <w:proofErr w:type="spellEnd"/>
      <w:r>
        <w:t xml:space="preserve">, and terminal </w:t>
      </w:r>
      <w:proofErr w:type="spellStart"/>
      <w:r>
        <w:t>serum</w:t>
      </w:r>
      <w:proofErr w:type="spellEnd"/>
      <w:r>
        <w:t xml:space="preserve"> </w:t>
      </w:r>
      <w:proofErr w:type="spellStart"/>
      <w:r>
        <w:t>biochemistry</w:t>
      </w:r>
      <w:proofErr w:type="spellEnd"/>
      <w:r>
        <w:t xml:space="preserve"> (</w:t>
      </w:r>
      <w:proofErr w:type="spellStart"/>
      <w:r>
        <w:t>hepatic</w:t>
      </w:r>
      <w:proofErr w:type="spellEnd"/>
      <w:r>
        <w:t xml:space="preserve"> and renal </w:t>
      </w:r>
      <w:proofErr w:type="spellStart"/>
      <w:r>
        <w:t>parameters</w:t>
      </w:r>
      <w:proofErr w:type="spellEnd"/>
      <w:r>
        <w:t xml:space="preserve">). </w:t>
      </w:r>
    </w:p>
    <w:p w14:paraId="4B167F45" w14:textId="77777777" w:rsidR="007D47F1" w:rsidRDefault="007D47F1" w:rsidP="007D47F1"/>
    <w:p w14:paraId="391D51BC" w14:textId="77777777" w:rsidR="007D47F1" w:rsidRPr="007D47F1" w:rsidRDefault="007D47F1" w:rsidP="007D47F1">
      <w:pPr>
        <w:rPr>
          <w:b/>
          <w:bCs/>
        </w:rPr>
      </w:pPr>
      <w:r w:rsidRPr="007D47F1">
        <w:rPr>
          <w:b/>
          <w:bCs/>
        </w:rPr>
        <w:t xml:space="preserve">Experimental </w:t>
      </w:r>
      <w:proofErr w:type="spellStart"/>
      <w:r w:rsidRPr="007D47F1">
        <w:rPr>
          <w:b/>
          <w:bCs/>
        </w:rPr>
        <w:t>animals</w:t>
      </w:r>
      <w:proofErr w:type="spellEnd"/>
    </w:p>
    <w:p w14:paraId="34D560B4" w14:textId="77777777" w:rsidR="007D47F1" w:rsidRDefault="007D47F1" w:rsidP="007D47F1">
      <w:proofErr w:type="spellStart"/>
      <w:r>
        <w:t>Species</w:t>
      </w:r>
      <w:proofErr w:type="spellEnd"/>
      <w:r>
        <w:t xml:space="preserve">: </w:t>
      </w:r>
      <w:proofErr w:type="spellStart"/>
      <w:r>
        <w:t>mouse</w:t>
      </w:r>
      <w:proofErr w:type="spellEnd"/>
      <w:r>
        <w:t>.</w:t>
      </w:r>
    </w:p>
    <w:p w14:paraId="78EBB733" w14:textId="77777777" w:rsidR="007D47F1" w:rsidRDefault="007D47F1" w:rsidP="007D47F1">
      <w:r>
        <w:t xml:space="preserve">Strain/stock: </w:t>
      </w:r>
      <w:proofErr w:type="spellStart"/>
      <w:r>
        <w:t>low-density</w:t>
      </w:r>
      <w:proofErr w:type="spellEnd"/>
      <w:r>
        <w:t xml:space="preserve"> </w:t>
      </w:r>
      <w:proofErr w:type="spellStart"/>
      <w:r>
        <w:t>lipoprotein</w:t>
      </w:r>
      <w:proofErr w:type="spellEnd"/>
      <w:r>
        <w:t xml:space="preserve"> </w:t>
      </w:r>
      <w:proofErr w:type="spellStart"/>
      <w:r>
        <w:t>receptor</w:t>
      </w:r>
      <w:proofErr w:type="spellEnd"/>
      <w:r>
        <w:t>–</w:t>
      </w:r>
      <w:proofErr w:type="spellStart"/>
      <w:r>
        <w:t>deficient</w:t>
      </w:r>
      <w:proofErr w:type="spellEnd"/>
      <w:r>
        <w:t xml:space="preserve"> (LDLR</w:t>
      </w:r>
      <w:r>
        <w:rPr>
          <w:rFonts w:ascii="Cambria Math" w:hAnsi="Cambria Math" w:cs="Cambria Math"/>
        </w:rPr>
        <w:t>⁻</w:t>
      </w:r>
      <w:r>
        <w:t>/</w:t>
      </w:r>
      <w:r>
        <w:rPr>
          <w:rFonts w:ascii="Cambria Math" w:hAnsi="Cambria Math" w:cs="Cambria Math"/>
        </w:rPr>
        <w:t>⁻</w:t>
      </w:r>
      <w:r>
        <w:t>; JAX 002207).</w:t>
      </w:r>
    </w:p>
    <w:p w14:paraId="05E00941" w14:textId="77777777" w:rsidR="007D47F1" w:rsidRDefault="007D47F1" w:rsidP="007D47F1">
      <w:r>
        <w:t>Sex: male.</w:t>
      </w:r>
    </w:p>
    <w:p w14:paraId="7ECFC17A" w14:textId="77777777" w:rsidR="007D47F1" w:rsidRDefault="007D47F1" w:rsidP="007D47F1">
      <w:r>
        <w:t xml:space="preserve">Age: </w:t>
      </w:r>
      <w:proofErr w:type="spellStart"/>
      <w:r>
        <w:t>received</w:t>
      </w:r>
      <w:proofErr w:type="spellEnd"/>
      <w:r>
        <w:t xml:space="preserve"> at </w:t>
      </w:r>
      <w:proofErr w:type="spellStart"/>
      <w:r>
        <w:t>approximately</w:t>
      </w:r>
      <w:proofErr w:type="spellEnd"/>
      <w:r>
        <w:t xml:space="preserve"> 9–11 </w:t>
      </w:r>
      <w:proofErr w:type="spellStart"/>
      <w:r>
        <w:t>weeks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; </w:t>
      </w:r>
      <w:proofErr w:type="spellStart"/>
      <w:r>
        <w:t>dosing</w:t>
      </w:r>
      <w:proofErr w:type="spellEnd"/>
      <w:r>
        <w:t xml:space="preserve"> </w:t>
      </w:r>
      <w:proofErr w:type="spellStart"/>
      <w:r>
        <w:t>commenced</w:t>
      </w:r>
      <w:proofErr w:type="spellEnd"/>
      <w:r>
        <w:t xml:space="preserve"> after an ~12-week Western-</w:t>
      </w:r>
      <w:proofErr w:type="spellStart"/>
      <w:r>
        <w:t>diet</w:t>
      </w:r>
      <w:proofErr w:type="spellEnd"/>
      <w:r>
        <w:t xml:space="preserve"> </w:t>
      </w:r>
      <w:proofErr w:type="spellStart"/>
      <w:r>
        <w:t>pretreatment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(</w:t>
      </w:r>
      <w:proofErr w:type="spellStart"/>
      <w:r>
        <w:t>approx</w:t>
      </w:r>
      <w:proofErr w:type="spellEnd"/>
      <w:r>
        <w:t xml:space="preserve">. 21–23 </w:t>
      </w:r>
      <w:proofErr w:type="spellStart"/>
      <w:r>
        <w:t>weeks</w:t>
      </w:r>
      <w:proofErr w:type="spellEnd"/>
      <w:r>
        <w:t xml:space="preserve"> at </w:t>
      </w:r>
      <w:proofErr w:type="spellStart"/>
      <w:r>
        <w:t>first</w:t>
      </w:r>
      <w:proofErr w:type="spellEnd"/>
      <w:r>
        <w:t xml:space="preserve"> dose;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notes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at </w:t>
      </w:r>
      <w:proofErr w:type="spellStart"/>
      <w:r>
        <w:t>dosing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raw</w:t>
      </w:r>
      <w:proofErr w:type="spellEnd"/>
      <w:r>
        <w:t xml:space="preserve"> </w:t>
      </w:r>
      <w:proofErr w:type="spellStart"/>
      <w:r>
        <w:t>data</w:t>
      </w:r>
      <w:proofErr w:type="spellEnd"/>
      <w:r>
        <w:t>).</w:t>
      </w:r>
    </w:p>
    <w:p w14:paraId="033E4E60" w14:textId="77777777" w:rsidR="007D47F1" w:rsidRDefault="007D47F1" w:rsidP="007D47F1">
      <w:proofErr w:type="spellStart"/>
      <w:r>
        <w:t>Diet</w:t>
      </w:r>
      <w:proofErr w:type="spellEnd"/>
      <w:r>
        <w:t xml:space="preserve">: </w:t>
      </w:r>
      <w:proofErr w:type="spellStart"/>
      <w:r>
        <w:t>cholesterol-containing</w:t>
      </w:r>
      <w:proofErr w:type="spellEnd"/>
      <w:r>
        <w:t xml:space="preserve"> Western-type </w:t>
      </w:r>
      <w:proofErr w:type="spellStart"/>
      <w:r>
        <w:t>diet</w:t>
      </w:r>
      <w:proofErr w:type="spellEnd"/>
      <w:r>
        <w:t xml:space="preserve"> (Research Diets D12079B) ad libitum </w:t>
      </w:r>
      <w:proofErr w:type="spellStart"/>
      <w:r>
        <w:t>for</w:t>
      </w:r>
      <w:proofErr w:type="spellEnd"/>
      <w:r>
        <w:t xml:space="preserve"> an ~12-week </w:t>
      </w:r>
      <w:proofErr w:type="spellStart"/>
      <w:r>
        <w:t>pretreatment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same </w:t>
      </w:r>
      <w:proofErr w:type="spellStart"/>
      <w:r>
        <w:t>diet</w:t>
      </w:r>
      <w:proofErr w:type="spellEnd"/>
      <w:r>
        <w:t xml:space="preserve"> </w:t>
      </w:r>
      <w:proofErr w:type="spellStart"/>
      <w:r>
        <w:t>continued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dosing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subsequent post-treatment </w:t>
      </w:r>
      <w:proofErr w:type="spellStart"/>
      <w:r>
        <w:t>period</w:t>
      </w:r>
      <w:proofErr w:type="spellEnd"/>
      <w:r>
        <w:t>.</w:t>
      </w:r>
    </w:p>
    <w:p w14:paraId="08515F78" w14:textId="77777777" w:rsidR="007D47F1" w:rsidRDefault="007D47F1" w:rsidP="007D47F1">
      <w:r>
        <w:t xml:space="preserve">Housing and </w:t>
      </w:r>
      <w:proofErr w:type="spellStart"/>
      <w:r>
        <w:t>husbandry</w:t>
      </w:r>
      <w:proofErr w:type="spellEnd"/>
      <w:r>
        <w:t xml:space="preserve">: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housed</w:t>
      </w:r>
      <w:proofErr w:type="spellEnd"/>
      <w:r>
        <w:t xml:space="preserve"> in </w:t>
      </w:r>
      <w:proofErr w:type="spellStart"/>
      <w:r>
        <w:t>polycarbonate</w:t>
      </w:r>
      <w:proofErr w:type="spellEnd"/>
      <w:r>
        <w:t xml:space="preserve"> </w:t>
      </w:r>
      <w:proofErr w:type="spellStart"/>
      <w:r>
        <w:t>cages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bedding</w:t>
      </w:r>
      <w:proofErr w:type="spellEnd"/>
      <w:r>
        <w:t xml:space="preserve">; environmental </w:t>
      </w:r>
      <w:proofErr w:type="spellStart"/>
      <w:r>
        <w:t>enrichment</w:t>
      </w:r>
      <w:proofErr w:type="spellEnd"/>
      <w:r>
        <w:t xml:space="preserve"> (</w:t>
      </w:r>
      <w:proofErr w:type="spellStart"/>
      <w:r>
        <w:t>nesting</w:t>
      </w:r>
      <w:proofErr w:type="spellEnd"/>
      <w:r>
        <w:t xml:space="preserve"> material)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designated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;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</w:t>
      </w:r>
      <w:proofErr w:type="spellStart"/>
      <w:r>
        <w:t>monitored</w:t>
      </w:r>
      <w:proofErr w:type="spellEnd"/>
      <w:r>
        <w:t xml:space="preserve"> at least </w:t>
      </w:r>
      <w:proofErr w:type="spellStart"/>
      <w:r>
        <w:t>twice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additional </w:t>
      </w:r>
      <w:proofErr w:type="spellStart"/>
      <w:r>
        <w:t>cage-side</w:t>
      </w:r>
      <w:proofErr w:type="spellEnd"/>
      <w:r>
        <w:t xml:space="preserve"> </w:t>
      </w:r>
      <w:proofErr w:type="spellStart"/>
      <w:r>
        <w:t>observations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warranted</w:t>
      </w:r>
      <w:proofErr w:type="spellEnd"/>
      <w:r>
        <w:t xml:space="preserve">;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per </w:t>
      </w:r>
      <w:proofErr w:type="spellStart"/>
      <w:r>
        <w:t>week</w:t>
      </w:r>
      <w:proofErr w:type="spellEnd"/>
      <w:r>
        <w:t xml:space="preserve">. </w:t>
      </w:r>
    </w:p>
    <w:p w14:paraId="34C8209D" w14:textId="77777777" w:rsidR="007D47F1" w:rsidRDefault="007D47F1" w:rsidP="007D47F1"/>
    <w:p w14:paraId="7C980356" w14:textId="77777777" w:rsidR="007D47F1" w:rsidRPr="007D47F1" w:rsidRDefault="007D47F1" w:rsidP="007D47F1">
      <w:pPr>
        <w:rPr>
          <w:b/>
          <w:bCs/>
        </w:rPr>
      </w:pPr>
      <w:r w:rsidRPr="007D47F1">
        <w:rPr>
          <w:b/>
          <w:bCs/>
        </w:rPr>
        <w:t xml:space="preserve">Experimental </w:t>
      </w:r>
      <w:proofErr w:type="spellStart"/>
      <w:r w:rsidRPr="007D47F1">
        <w:rPr>
          <w:b/>
          <w:bCs/>
        </w:rPr>
        <w:t>procedures</w:t>
      </w:r>
      <w:proofErr w:type="spellEnd"/>
    </w:p>
    <w:p w14:paraId="6EC4E2CD" w14:textId="77777777" w:rsidR="007D47F1" w:rsidRDefault="007D47F1" w:rsidP="007D47F1">
      <w:r>
        <w:t>Intervention: D016 (</w:t>
      </w:r>
      <w:proofErr w:type="spellStart"/>
      <w:r>
        <w:t>test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designation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facility</w:t>
      </w:r>
      <w:proofErr w:type="spellEnd"/>
      <w:r>
        <w:t xml:space="preserve">: </w:t>
      </w:r>
      <w:proofErr w:type="spellStart"/>
      <w:r>
        <w:t>Hyphilase</w:t>
      </w:r>
      <w:proofErr w:type="spellEnd"/>
      <w:r>
        <w:t xml:space="preserve"> Groningen / </w:t>
      </w:r>
      <w:proofErr w:type="spellStart"/>
      <w:r>
        <w:t>HyPGSP</w:t>
      </w:r>
      <w:proofErr w:type="spellEnd"/>
      <w:r>
        <w:t xml:space="preserve">) </w:t>
      </w:r>
      <w:proofErr w:type="spellStart"/>
      <w:r>
        <w:t>or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(Tris–HCl/NaCl </w:t>
      </w:r>
      <w:proofErr w:type="spellStart"/>
      <w:r>
        <w:t>buffer</w:t>
      </w:r>
      <w:proofErr w:type="spellEnd"/>
      <w:r>
        <w:t xml:space="preserve">, pH 7.4). Dose </w:t>
      </w:r>
      <w:proofErr w:type="spellStart"/>
      <w:r>
        <w:t>formulations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stored</w:t>
      </w:r>
      <w:proofErr w:type="spellEnd"/>
      <w:r>
        <w:t xml:space="preserve"> at 4</w:t>
      </w:r>
      <w:r>
        <w:rPr>
          <w:rFonts w:ascii="Arial" w:hAnsi="Arial" w:cs="Arial"/>
        </w:rPr>
        <w:t> </w:t>
      </w:r>
      <w:r>
        <w:rPr>
          <w:rFonts w:ascii="Aptos" w:hAnsi="Aptos" w:cs="Aptos"/>
        </w:rPr>
        <w:t>°</w:t>
      </w:r>
      <w:r>
        <w:t xml:space="preserve">C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and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equilibrate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>.</w:t>
      </w:r>
    </w:p>
    <w:p w14:paraId="123DD1EE" w14:textId="77777777" w:rsidR="007D47F1" w:rsidRDefault="007D47F1" w:rsidP="007D47F1">
      <w:proofErr w:type="spellStart"/>
      <w:r>
        <w:t>Dosing</w:t>
      </w:r>
      <w:proofErr w:type="spellEnd"/>
      <w:r>
        <w:t xml:space="preserve">: </w:t>
      </w:r>
      <w:proofErr w:type="spellStart"/>
      <w:r>
        <w:t>intravenous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10 </w:t>
      </w:r>
      <w:proofErr w:type="spellStart"/>
      <w:r>
        <w:t>consecutive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at 7,500 U kg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¹</w:t>
      </w:r>
      <w:r>
        <w:t xml:space="preserve"> day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¹</w:t>
      </w:r>
      <w:r>
        <w:t xml:space="preserve"> (</w:t>
      </w:r>
      <w:proofErr w:type="spellStart"/>
      <w:r>
        <w:t>low</w:t>
      </w:r>
      <w:proofErr w:type="spellEnd"/>
      <w:r>
        <w:t xml:space="preserve"> dose) </w:t>
      </w:r>
      <w:proofErr w:type="spellStart"/>
      <w:r>
        <w:t>or</w:t>
      </w:r>
      <w:proofErr w:type="spellEnd"/>
      <w:r>
        <w:t xml:space="preserve"> 750,000 U kg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¹</w:t>
      </w:r>
      <w:r>
        <w:t xml:space="preserve"> day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¹</w:t>
      </w:r>
      <w:r>
        <w:t xml:space="preserve"> (high dose); dose </w:t>
      </w:r>
      <w:proofErr w:type="spellStart"/>
      <w:r>
        <w:t>volume</w:t>
      </w:r>
      <w:proofErr w:type="spellEnd"/>
      <w:r>
        <w:t xml:space="preserve"> 5.0 </w:t>
      </w:r>
      <w:proofErr w:type="spellStart"/>
      <w:r>
        <w:t>mL</w:t>
      </w:r>
      <w:proofErr w:type="spellEnd"/>
      <w:r>
        <w:t xml:space="preserve"> kg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¹</w:t>
      </w:r>
      <w:r>
        <w:t xml:space="preserve">. </w:t>
      </w:r>
      <w:proofErr w:type="spellStart"/>
      <w:r>
        <w:t>Exploratory</w:t>
      </w:r>
      <w:proofErr w:type="spellEnd"/>
      <w:r>
        <w:t xml:space="preserve"> </w:t>
      </w:r>
      <w:proofErr w:type="spellStart"/>
      <w:r>
        <w:t>arms</w:t>
      </w:r>
      <w:proofErr w:type="spellEnd"/>
      <w:r>
        <w:t xml:space="preserve"> </w:t>
      </w:r>
      <w:proofErr w:type="spellStart"/>
      <w:r>
        <w:t>co-administered</w:t>
      </w:r>
      <w:proofErr w:type="spellEnd"/>
      <w:r>
        <w:t xml:space="preserve"> high-</w:t>
      </w:r>
      <w:proofErr w:type="spellStart"/>
      <w:r>
        <w:t>dose</w:t>
      </w:r>
      <w:proofErr w:type="spellEnd"/>
      <w:r>
        <w:t xml:space="preserve"> D016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protease</w:t>
      </w:r>
      <w:proofErr w:type="spellEnd"/>
      <w:r>
        <w:t xml:space="preserve">-inhibitor </w:t>
      </w:r>
      <w:proofErr w:type="spellStart"/>
      <w:r>
        <w:t>systems</w:t>
      </w:r>
      <w:proofErr w:type="spellEnd"/>
      <w:r>
        <w:t xml:space="preserve"> (sys1</w:t>
      </w:r>
      <w:r>
        <w:rPr>
          <w:rFonts w:ascii="Aptos" w:hAnsi="Aptos" w:cs="Aptos"/>
        </w:rPr>
        <w:t>–</w:t>
      </w:r>
      <w:r>
        <w:t>3; n=4 per arm).</w:t>
      </w:r>
    </w:p>
    <w:p w14:paraId="68AB49E3" w14:textId="77777777" w:rsidR="007D47F1" w:rsidRDefault="007D47F1" w:rsidP="007D47F1">
      <w:r>
        <w:t xml:space="preserve">Blood </w:t>
      </w:r>
      <w:proofErr w:type="spellStart"/>
      <w:r>
        <w:t>sampling</w:t>
      </w:r>
      <w:proofErr w:type="spellEnd"/>
      <w:r>
        <w:t xml:space="preserve">: </w:t>
      </w:r>
      <w:proofErr w:type="spellStart"/>
      <w:r>
        <w:t>pre</w:t>
      </w:r>
      <w:proofErr w:type="spellEnd"/>
      <w:r>
        <w:t>-</w:t>
      </w:r>
      <w:proofErr w:type="spellStart"/>
      <w:r>
        <w:t>dose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was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 total </w:t>
      </w:r>
      <w:proofErr w:type="spellStart"/>
      <w:r>
        <w:t>cholesterol</w:t>
      </w:r>
      <w:proofErr w:type="spellEnd"/>
      <w:r>
        <w:t xml:space="preserve"> and </w:t>
      </w:r>
      <w:proofErr w:type="spellStart"/>
      <w:r>
        <w:t>triglycerides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allocation</w:t>
      </w:r>
      <w:proofErr w:type="spellEnd"/>
      <w:r>
        <w:t xml:space="preserve">. Terminal </w:t>
      </w:r>
      <w:proofErr w:type="spellStart"/>
      <w:r>
        <w:t>blood</w:t>
      </w:r>
      <w:proofErr w:type="spellEnd"/>
      <w:r>
        <w:t xml:space="preserve"> was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intracardiac</w:t>
      </w:r>
      <w:proofErr w:type="spellEnd"/>
      <w:r>
        <w:t xml:space="preserve"> </w:t>
      </w:r>
      <w:proofErr w:type="spellStart"/>
      <w:r>
        <w:t>puncture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serum</w:t>
      </w:r>
      <w:proofErr w:type="spellEnd"/>
      <w:r>
        <w:t xml:space="preserve"> </w:t>
      </w:r>
      <w:proofErr w:type="spellStart"/>
      <w:r>
        <w:t>separator</w:t>
      </w:r>
      <w:proofErr w:type="spellEnd"/>
      <w:r>
        <w:t xml:space="preserve"> </w:t>
      </w:r>
      <w:proofErr w:type="spellStart"/>
      <w:r>
        <w:t>tubes</w:t>
      </w:r>
      <w:proofErr w:type="spellEnd"/>
      <w:r>
        <w:t xml:space="preserve">, 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serum</w:t>
      </w:r>
      <w:proofErr w:type="spellEnd"/>
      <w:r>
        <w:t xml:space="preserve"> (</w:t>
      </w:r>
      <w:proofErr w:type="spellStart"/>
      <w:r>
        <w:t>centrifugation</w:t>
      </w:r>
      <w:proofErr w:type="spellEnd"/>
      <w:r>
        <w:t xml:space="preserve"> 2,200 g, 10 min,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) and </w:t>
      </w:r>
      <w:proofErr w:type="spellStart"/>
      <w:r>
        <w:t>stored</w:t>
      </w:r>
      <w:proofErr w:type="spellEnd"/>
      <w:r>
        <w:t xml:space="preserve"> at −20</w:t>
      </w:r>
      <w:r>
        <w:rPr>
          <w:rFonts w:ascii="Arial" w:hAnsi="Arial" w:cs="Arial"/>
        </w:rPr>
        <w:t> </w:t>
      </w:r>
      <w:r>
        <w:rPr>
          <w:rFonts w:ascii="Aptos" w:hAnsi="Aptos" w:cs="Aptos"/>
        </w:rPr>
        <w:t>°</w:t>
      </w:r>
      <w:r>
        <w:t xml:space="preserve">C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>.</w:t>
      </w:r>
    </w:p>
    <w:p w14:paraId="0E3E6CAC" w14:textId="77777777" w:rsidR="007D47F1" w:rsidRDefault="007D47F1" w:rsidP="007D47F1">
      <w:r>
        <w:lastRenderedPageBreak/>
        <w:t xml:space="preserve">Terminal </w:t>
      </w:r>
      <w:proofErr w:type="spellStart"/>
      <w:r>
        <w:t>procedures</w:t>
      </w:r>
      <w:proofErr w:type="spellEnd"/>
      <w:r>
        <w:t xml:space="preserve"> and </w:t>
      </w:r>
      <w:proofErr w:type="spellStart"/>
      <w:r>
        <w:t>tissue</w:t>
      </w:r>
      <w:proofErr w:type="spellEnd"/>
      <w:r>
        <w:t xml:space="preserve"> </w:t>
      </w:r>
      <w:proofErr w:type="spellStart"/>
      <w:r>
        <w:t>handling</w:t>
      </w:r>
      <w:proofErr w:type="spellEnd"/>
      <w:r>
        <w:t xml:space="preserve">: </w:t>
      </w:r>
      <w:proofErr w:type="spellStart"/>
      <w:r>
        <w:t>animals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euthanised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dioxide</w:t>
      </w:r>
      <w:proofErr w:type="spellEnd"/>
      <w:r>
        <w:t xml:space="preserve"> </w:t>
      </w:r>
      <w:proofErr w:type="spellStart"/>
      <w:r>
        <w:t>asphyxiation</w:t>
      </w:r>
      <w:proofErr w:type="spellEnd"/>
      <w:r>
        <w:t xml:space="preserve">; </w:t>
      </w:r>
      <w:proofErr w:type="spellStart"/>
      <w:r>
        <w:t>perfused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phosphate-buffered</w:t>
      </w:r>
      <w:proofErr w:type="spellEnd"/>
      <w:r>
        <w:t xml:space="preserve"> </w:t>
      </w:r>
      <w:proofErr w:type="spellStart"/>
      <w:r>
        <w:t>saline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10% neutral </w:t>
      </w:r>
      <w:proofErr w:type="spellStart"/>
      <w:r>
        <w:t>buffered</w:t>
      </w:r>
      <w:proofErr w:type="spellEnd"/>
      <w:r>
        <w:t xml:space="preserve"> </w:t>
      </w:r>
      <w:proofErr w:type="spellStart"/>
      <w:r>
        <w:t>formalin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aorta</w:t>
      </w:r>
      <w:proofErr w:type="spellEnd"/>
      <w:r>
        <w:t xml:space="preserve"> (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bifurcation</w:t>
      </w:r>
      <w:proofErr w:type="spellEnd"/>
      <w:r>
        <w:t xml:space="preserve">) was </w:t>
      </w:r>
      <w:proofErr w:type="spellStart"/>
      <w:r>
        <w:t>collected</w:t>
      </w:r>
      <w:proofErr w:type="spellEnd"/>
      <w:r>
        <w:t xml:space="preserve"> in 10% neutral </w:t>
      </w:r>
      <w:proofErr w:type="spellStart"/>
      <w:r>
        <w:t>buffered</w:t>
      </w:r>
      <w:proofErr w:type="spellEnd"/>
      <w:r>
        <w:t xml:space="preserve"> </w:t>
      </w:r>
      <w:proofErr w:type="spellStart"/>
      <w:r>
        <w:t>formalin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remaining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</w:t>
      </w:r>
      <w:proofErr w:type="spellStart"/>
      <w:r>
        <w:t>ascending</w:t>
      </w:r>
      <w:proofErr w:type="spellEnd"/>
      <w:r>
        <w:t xml:space="preserve"> </w:t>
      </w:r>
      <w:proofErr w:type="spellStart"/>
      <w:r>
        <w:t>aorta</w:t>
      </w:r>
      <w:proofErr w:type="spellEnd"/>
      <w:r>
        <w:t xml:space="preserve"> </w:t>
      </w:r>
      <w:proofErr w:type="spellStart"/>
      <w:r>
        <w:t>segment</w:t>
      </w:r>
      <w:proofErr w:type="spellEnd"/>
      <w:r>
        <w:t xml:space="preserve"> was </w:t>
      </w:r>
      <w:proofErr w:type="spellStart"/>
      <w:r>
        <w:t>embedded</w:t>
      </w:r>
      <w:proofErr w:type="spellEnd"/>
      <w:r>
        <w:t xml:space="preserve"> in OCT and </w:t>
      </w:r>
      <w:proofErr w:type="spellStart"/>
      <w:r>
        <w:t>frozen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-root </w:t>
      </w:r>
      <w:proofErr w:type="spellStart"/>
      <w:r>
        <w:t>sectioning</w:t>
      </w:r>
      <w:proofErr w:type="spellEnd"/>
      <w:r>
        <w:t>.</w:t>
      </w:r>
    </w:p>
    <w:p w14:paraId="0BDBC8D8" w14:textId="77777777" w:rsidR="007D47F1" w:rsidRDefault="007D47F1" w:rsidP="007D47F1">
      <w:r>
        <w:t xml:space="preserve">Outcome </w:t>
      </w:r>
      <w:proofErr w:type="spellStart"/>
      <w:r>
        <w:t>assessment</w:t>
      </w:r>
      <w:proofErr w:type="spellEnd"/>
      <w:r>
        <w:t xml:space="preserve">: </w:t>
      </w:r>
      <w:proofErr w:type="spellStart"/>
      <w:r>
        <w:t>aortic</w:t>
      </w:r>
      <w:proofErr w:type="spellEnd"/>
      <w:r>
        <w:t xml:space="preserve">-root </w:t>
      </w:r>
      <w:proofErr w:type="spellStart"/>
      <w:r>
        <w:t>lesion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quantified</w:t>
      </w:r>
      <w:proofErr w:type="spellEnd"/>
      <w:r>
        <w:t xml:space="preserve"> on H&amp;E-</w:t>
      </w:r>
      <w:proofErr w:type="spellStart"/>
      <w:r>
        <w:t>stained</w:t>
      </w:r>
      <w:proofErr w:type="spellEnd"/>
      <w:r>
        <w:t xml:space="preserve"> </w:t>
      </w:r>
      <w:proofErr w:type="spellStart"/>
      <w:r>
        <w:t>cryosections</w:t>
      </w:r>
      <w:proofErr w:type="spellEnd"/>
      <w:r>
        <w:t xml:space="preserve">. Serial 10-µm </w:t>
      </w:r>
      <w:proofErr w:type="spellStart"/>
      <w:r>
        <w:t>sections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</w:t>
      </w:r>
      <w:proofErr w:type="spellStart"/>
      <w:r>
        <w:t>sinus</w:t>
      </w:r>
      <w:proofErr w:type="spellEnd"/>
      <w:r>
        <w:t xml:space="preserve">; </w:t>
      </w:r>
      <w:proofErr w:type="spellStart"/>
      <w:r>
        <w:t>images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at </w:t>
      </w:r>
      <w:proofErr w:type="spellStart"/>
      <w:r>
        <w:t>predefined</w:t>
      </w:r>
      <w:proofErr w:type="spellEnd"/>
      <w:r>
        <w:t xml:space="preserve"> </w:t>
      </w:r>
      <w:proofErr w:type="spellStart"/>
      <w:r>
        <w:t>step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spanning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sinus</w:t>
      </w:r>
      <w:proofErr w:type="spellEnd"/>
      <w:r>
        <w:t xml:space="preserve">; total </w:t>
      </w:r>
      <w:proofErr w:type="spellStart"/>
      <w:r>
        <w:t>lesion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quantified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computer-</w:t>
      </w:r>
      <w:proofErr w:type="spellStart"/>
      <w:r>
        <w:t>assisted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. </w:t>
      </w:r>
    </w:p>
    <w:p w14:paraId="09B4CF74" w14:textId="77777777" w:rsidR="007D47F1" w:rsidRDefault="007D47F1" w:rsidP="007D47F1"/>
    <w:p w14:paraId="78874577" w14:textId="77777777" w:rsidR="007D47F1" w:rsidRPr="007D47F1" w:rsidRDefault="007D47F1" w:rsidP="007D47F1">
      <w:pPr>
        <w:rPr>
          <w:b/>
          <w:bCs/>
        </w:rPr>
      </w:pPr>
      <w:r w:rsidRPr="007D47F1">
        <w:rPr>
          <w:b/>
          <w:bCs/>
        </w:rPr>
        <w:t xml:space="preserve">Sample </w:t>
      </w:r>
      <w:proofErr w:type="spellStart"/>
      <w:r w:rsidRPr="007D47F1">
        <w:rPr>
          <w:b/>
          <w:bCs/>
        </w:rPr>
        <w:t>size</w:t>
      </w:r>
      <w:proofErr w:type="spellEnd"/>
    </w:p>
    <w:p w14:paraId="7880EC80" w14:textId="77777777" w:rsidR="007D47F1" w:rsidRDefault="007D47F1" w:rsidP="007D47F1">
      <w:r>
        <w:t xml:space="preserve">Primary </w:t>
      </w:r>
      <w:proofErr w:type="spellStart"/>
      <w:r>
        <w:t>inferential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: </w:t>
      </w:r>
      <w:proofErr w:type="spellStart"/>
      <w:r>
        <w:t>vehicle</w:t>
      </w:r>
      <w:proofErr w:type="spellEnd"/>
      <w:r>
        <w:t xml:space="preserve"> n=12; D016 </w:t>
      </w:r>
      <w:proofErr w:type="spellStart"/>
      <w:r>
        <w:t>low</w:t>
      </w:r>
      <w:proofErr w:type="spellEnd"/>
      <w:r>
        <w:t xml:space="preserve"> dose n=12; D016 high dose n=12.</w:t>
      </w:r>
    </w:p>
    <w:p w14:paraId="04FDD786" w14:textId="77777777" w:rsidR="007D47F1" w:rsidRDefault="007D47F1" w:rsidP="007D47F1">
      <w:proofErr w:type="spellStart"/>
      <w:r>
        <w:t>Exploratory</w:t>
      </w:r>
      <w:proofErr w:type="spellEnd"/>
      <w:r>
        <w:t xml:space="preserve"> </w:t>
      </w:r>
      <w:proofErr w:type="spellStart"/>
      <w:r>
        <w:t>arms</w:t>
      </w:r>
      <w:proofErr w:type="spellEnd"/>
      <w:r>
        <w:t>: D016 high dose + sys1 n=4; + sys2 n=4; + sys3 n=4.</w:t>
      </w:r>
    </w:p>
    <w:p w14:paraId="1941EE3F" w14:textId="77777777" w:rsidR="007D47F1" w:rsidRDefault="007D47F1" w:rsidP="007D47F1">
      <w:r>
        <w:t xml:space="preserve">Sample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determination</w:t>
      </w:r>
      <w:proofErr w:type="spellEnd"/>
      <w:r>
        <w:t xml:space="preserve"> (power </w:t>
      </w:r>
      <w:proofErr w:type="spellStart"/>
      <w:r>
        <w:t>calculation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priori </w:t>
      </w:r>
      <w:proofErr w:type="spellStart"/>
      <w:r>
        <w:t>effect</w:t>
      </w:r>
      <w:proofErr w:type="spellEnd"/>
      <w:r>
        <w:t xml:space="preserve">-size </w:t>
      </w:r>
      <w:proofErr w:type="spellStart"/>
      <w:r>
        <w:t>assumptions</w:t>
      </w:r>
      <w:proofErr w:type="spellEnd"/>
      <w:r>
        <w:t xml:space="preserve">):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sizes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CRO </w:t>
      </w:r>
      <w:proofErr w:type="spellStart"/>
      <w:r>
        <w:t>protocol</w:t>
      </w:r>
      <w:proofErr w:type="spellEnd"/>
      <w:r>
        <w:t xml:space="preserve"> (n=12 per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; n=4 per </w:t>
      </w:r>
      <w:proofErr w:type="spellStart"/>
      <w:r>
        <w:t>exploratory</w:t>
      </w:r>
      <w:proofErr w:type="spellEnd"/>
      <w:r>
        <w:t xml:space="preserve"> arm). A formal a priori power </w:t>
      </w:r>
      <w:proofErr w:type="spellStart"/>
      <w:r>
        <w:t>calculation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provided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>.</w:t>
      </w:r>
    </w:p>
    <w:p w14:paraId="115DB411" w14:textId="77777777" w:rsidR="007D47F1" w:rsidRDefault="007D47F1" w:rsidP="007D47F1"/>
    <w:p w14:paraId="52D1A719" w14:textId="77777777" w:rsidR="007D47F1" w:rsidRPr="007D47F1" w:rsidRDefault="007D47F1" w:rsidP="007D47F1">
      <w:pPr>
        <w:rPr>
          <w:b/>
          <w:bCs/>
        </w:rPr>
      </w:pPr>
      <w:r w:rsidRPr="007D47F1">
        <w:rPr>
          <w:b/>
          <w:bCs/>
        </w:rPr>
        <w:t>Replication</w:t>
      </w:r>
    </w:p>
    <w:p w14:paraId="50044964" w14:textId="77777777" w:rsidR="007D47F1" w:rsidRDefault="007D47F1" w:rsidP="007D47F1">
      <w:r>
        <w:t xml:space="preserve">Biological </w:t>
      </w:r>
      <w:proofErr w:type="spellStart"/>
      <w:r>
        <w:t>replicates</w:t>
      </w:r>
      <w:proofErr w:type="spellEnd"/>
      <w:r>
        <w:t xml:space="preserve">: individual </w:t>
      </w:r>
      <w:proofErr w:type="spellStart"/>
      <w:r>
        <w:t>animals</w:t>
      </w:r>
      <w:proofErr w:type="spellEnd"/>
      <w:r>
        <w:t xml:space="preserve">. </w:t>
      </w:r>
      <w:proofErr w:type="spellStart"/>
      <w:r>
        <w:t>Lesion</w:t>
      </w:r>
      <w:proofErr w:type="spellEnd"/>
      <w:r>
        <w:t xml:space="preserve">-area </w:t>
      </w:r>
      <w:proofErr w:type="spellStart"/>
      <w:r>
        <w:t>quantification</w:t>
      </w:r>
      <w:proofErr w:type="spellEnd"/>
      <w:r>
        <w:t xml:space="preserve"> was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serial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</w:t>
      </w:r>
      <w:proofErr w:type="spellStart"/>
      <w:r>
        <w:t>sinus</w:t>
      </w:r>
      <w:proofErr w:type="spellEnd"/>
      <w:r>
        <w:t xml:space="preserve"> per </w:t>
      </w:r>
      <w:proofErr w:type="spellStart"/>
      <w:r>
        <w:t>animal</w:t>
      </w:r>
      <w:proofErr w:type="spellEnd"/>
      <w:r>
        <w:t xml:space="preserve"> (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replication</w:t>
      </w:r>
      <w:proofErr w:type="spellEnd"/>
      <w:r>
        <w:t xml:space="preserve">). The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a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predefined</w:t>
      </w:r>
      <w:proofErr w:type="spellEnd"/>
      <w:r>
        <w:t xml:space="preserve"> in vivo </w:t>
      </w:r>
      <w:proofErr w:type="spellStart"/>
      <w:r>
        <w:t>cohort</w:t>
      </w:r>
      <w:proofErr w:type="spellEnd"/>
      <w:r>
        <w:t xml:space="preserve">; </w:t>
      </w:r>
      <w:proofErr w:type="spellStart"/>
      <w:r>
        <w:t>no</w:t>
      </w:r>
      <w:proofErr w:type="spellEnd"/>
      <w:r>
        <w:t xml:space="preserve"> additional </w:t>
      </w:r>
      <w:proofErr w:type="spellStart"/>
      <w:r>
        <w:t>independent</w:t>
      </w:r>
      <w:proofErr w:type="spellEnd"/>
      <w:r>
        <w:t xml:space="preserve"> in vivo </w:t>
      </w:r>
      <w:proofErr w:type="spellStart"/>
      <w:r>
        <w:t>replicate</w:t>
      </w:r>
      <w:proofErr w:type="spellEnd"/>
      <w:r>
        <w:t xml:space="preserve"> </w:t>
      </w:r>
      <w:proofErr w:type="spellStart"/>
      <w:r>
        <w:t>cohort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>.</w:t>
      </w:r>
    </w:p>
    <w:p w14:paraId="4F805CF7" w14:textId="77777777" w:rsidR="007D47F1" w:rsidRDefault="007D47F1" w:rsidP="007D47F1"/>
    <w:p w14:paraId="0A7B4F31" w14:textId="77777777" w:rsidR="007D47F1" w:rsidRPr="007D47F1" w:rsidRDefault="007D47F1" w:rsidP="007D47F1">
      <w:pPr>
        <w:rPr>
          <w:b/>
          <w:bCs/>
        </w:rPr>
      </w:pPr>
      <w:proofErr w:type="spellStart"/>
      <w:r w:rsidRPr="007D47F1">
        <w:rPr>
          <w:b/>
          <w:bCs/>
        </w:rPr>
        <w:t>Randomisation</w:t>
      </w:r>
      <w:proofErr w:type="spellEnd"/>
    </w:p>
    <w:p w14:paraId="3799CE03" w14:textId="77777777" w:rsidR="007D47F1" w:rsidRDefault="007D47F1" w:rsidP="007D47F1">
      <w:r>
        <w:t xml:space="preserve">Animals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allocated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minimise</w:t>
      </w:r>
      <w:proofErr w:type="spellEnd"/>
      <w:r>
        <w:t xml:space="preserve"> </w:t>
      </w:r>
      <w:proofErr w:type="spellStart"/>
      <w:r>
        <w:t>baseline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and </w:t>
      </w:r>
      <w:proofErr w:type="spellStart"/>
      <w:r>
        <w:t>pre</w:t>
      </w:r>
      <w:proofErr w:type="spellEnd"/>
      <w:r>
        <w:t>-</w:t>
      </w:r>
      <w:proofErr w:type="spellStart"/>
      <w:r>
        <w:t>dose</w:t>
      </w:r>
      <w:proofErr w:type="spellEnd"/>
      <w:r>
        <w:t xml:space="preserve"> </w:t>
      </w:r>
      <w:proofErr w:type="spellStart"/>
      <w:r>
        <w:t>serum</w:t>
      </w:r>
      <w:proofErr w:type="spellEnd"/>
      <w:r>
        <w:t xml:space="preserve"> total </w:t>
      </w:r>
      <w:proofErr w:type="spellStart"/>
      <w:r>
        <w:t>cholesterol</w:t>
      </w:r>
      <w:proofErr w:type="spellEnd"/>
      <w:r>
        <w:t xml:space="preserve"> and </w:t>
      </w:r>
      <w:proofErr w:type="spellStart"/>
      <w:r>
        <w:t>triglycerides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allocation</w:t>
      </w:r>
      <w:proofErr w:type="spellEnd"/>
      <w:r>
        <w:t xml:space="preserve"> variables. Treatment </w:t>
      </w:r>
      <w:proofErr w:type="spellStart"/>
      <w:r>
        <w:t>initiation</w:t>
      </w:r>
      <w:proofErr w:type="spellEnd"/>
      <w:r>
        <w:t xml:space="preserve"> was </w:t>
      </w:r>
      <w:proofErr w:type="spellStart"/>
      <w:r>
        <w:t>staggered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cohorts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balanced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dosing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. The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describes</w:t>
      </w:r>
      <w:proofErr w:type="spellEnd"/>
      <w:r>
        <w:t xml:space="preserve"> </w:t>
      </w:r>
      <w:proofErr w:type="spellStart"/>
      <w:r>
        <w:t>covariate-based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allocation</w:t>
      </w:r>
      <w:proofErr w:type="spellEnd"/>
      <w:r>
        <w:t>; a separate computer-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random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described</w:t>
      </w:r>
      <w:proofErr w:type="spellEnd"/>
      <w:r>
        <w:t>.</w:t>
      </w:r>
    </w:p>
    <w:p w14:paraId="2281204F" w14:textId="77777777" w:rsidR="007D47F1" w:rsidRDefault="007D47F1" w:rsidP="007D47F1"/>
    <w:p w14:paraId="32D9C761" w14:textId="77777777" w:rsidR="001509A3" w:rsidRDefault="001509A3" w:rsidP="007D47F1">
      <w:pPr>
        <w:rPr>
          <w:b/>
          <w:bCs/>
        </w:rPr>
      </w:pPr>
      <w:proofErr w:type="spellStart"/>
      <w:r w:rsidRPr="001509A3">
        <w:rPr>
          <w:b/>
          <w:bCs/>
        </w:rPr>
        <w:t>Blinding</w:t>
      </w:r>
      <w:proofErr w:type="spellEnd"/>
    </w:p>
    <w:p w14:paraId="64B7E326" w14:textId="67C2AE00" w:rsidR="007D47F1" w:rsidRDefault="001509A3" w:rsidP="007D47F1">
      <w:proofErr w:type="spellStart"/>
      <w:r w:rsidRPr="001509A3">
        <w:t>Aortic</w:t>
      </w:r>
      <w:proofErr w:type="spellEnd"/>
      <w:r w:rsidRPr="001509A3">
        <w:t xml:space="preserve">-root </w:t>
      </w:r>
      <w:proofErr w:type="spellStart"/>
      <w:r w:rsidRPr="001509A3">
        <w:t>lesion</w:t>
      </w:r>
      <w:proofErr w:type="spellEnd"/>
      <w:r w:rsidRPr="001509A3">
        <w:t xml:space="preserve"> </w:t>
      </w:r>
      <w:proofErr w:type="spellStart"/>
      <w:r w:rsidRPr="001509A3">
        <w:t>quantification</w:t>
      </w:r>
      <w:proofErr w:type="spellEnd"/>
      <w:r w:rsidRPr="001509A3">
        <w:t xml:space="preserve"> was </w:t>
      </w:r>
      <w:proofErr w:type="spellStart"/>
      <w:r w:rsidRPr="001509A3">
        <w:t>performed</w:t>
      </w:r>
      <w:proofErr w:type="spellEnd"/>
      <w:r w:rsidRPr="001509A3">
        <w:t xml:space="preserve"> </w:t>
      </w:r>
      <w:proofErr w:type="spellStart"/>
      <w:r w:rsidRPr="001509A3">
        <w:t>by</w:t>
      </w:r>
      <w:proofErr w:type="spellEnd"/>
      <w:r w:rsidRPr="001509A3">
        <w:t xml:space="preserve"> Vascular Strategies LLC, an external </w:t>
      </w:r>
      <w:proofErr w:type="spellStart"/>
      <w:r w:rsidRPr="001509A3">
        <w:t>analysis</w:t>
      </w:r>
      <w:proofErr w:type="spellEnd"/>
      <w:r w:rsidRPr="001509A3">
        <w:t xml:space="preserve"> </w:t>
      </w:r>
      <w:proofErr w:type="spellStart"/>
      <w:r w:rsidRPr="001509A3">
        <w:t>partner</w:t>
      </w:r>
      <w:proofErr w:type="spellEnd"/>
      <w:r w:rsidRPr="001509A3">
        <w:t xml:space="preserve">, </w:t>
      </w:r>
      <w:proofErr w:type="spellStart"/>
      <w:r w:rsidRPr="001509A3">
        <w:t>using</w:t>
      </w:r>
      <w:proofErr w:type="spellEnd"/>
      <w:r w:rsidRPr="001509A3">
        <w:t xml:space="preserve"> computer-</w:t>
      </w:r>
      <w:proofErr w:type="spellStart"/>
      <w:r w:rsidRPr="001509A3">
        <w:t>assisted</w:t>
      </w:r>
      <w:proofErr w:type="spellEnd"/>
      <w:r w:rsidRPr="001509A3">
        <w:t xml:space="preserve"> digital </w:t>
      </w:r>
      <w:proofErr w:type="spellStart"/>
      <w:r w:rsidRPr="001509A3">
        <w:t>image</w:t>
      </w:r>
      <w:proofErr w:type="spellEnd"/>
      <w:r w:rsidRPr="001509A3">
        <w:t xml:space="preserve"> </w:t>
      </w:r>
      <w:proofErr w:type="spellStart"/>
      <w:r w:rsidRPr="001509A3">
        <w:t>analysis</w:t>
      </w:r>
      <w:proofErr w:type="spellEnd"/>
      <w:r w:rsidRPr="001509A3">
        <w:t xml:space="preserve">. Analysts </w:t>
      </w:r>
      <w:proofErr w:type="spellStart"/>
      <w:r w:rsidRPr="001509A3">
        <w:t>were</w:t>
      </w:r>
      <w:proofErr w:type="spellEnd"/>
      <w:r w:rsidRPr="001509A3">
        <w:t xml:space="preserve"> not </w:t>
      </w:r>
      <w:proofErr w:type="spellStart"/>
      <w:r w:rsidRPr="001509A3">
        <w:t>involved</w:t>
      </w:r>
      <w:proofErr w:type="spellEnd"/>
      <w:r w:rsidRPr="001509A3">
        <w:t xml:space="preserve"> in </w:t>
      </w:r>
      <w:proofErr w:type="spellStart"/>
      <w:r w:rsidRPr="001509A3">
        <w:t>animal</w:t>
      </w:r>
      <w:proofErr w:type="spellEnd"/>
      <w:r w:rsidRPr="001509A3">
        <w:t xml:space="preserve"> </w:t>
      </w:r>
      <w:proofErr w:type="spellStart"/>
      <w:r w:rsidRPr="001509A3">
        <w:t>dosing</w:t>
      </w:r>
      <w:proofErr w:type="spellEnd"/>
      <w:r w:rsidRPr="001509A3">
        <w:t xml:space="preserve"> </w:t>
      </w:r>
      <w:proofErr w:type="spellStart"/>
      <w:r w:rsidRPr="001509A3">
        <w:t>or</w:t>
      </w:r>
      <w:proofErr w:type="spellEnd"/>
      <w:r w:rsidRPr="001509A3">
        <w:t xml:space="preserve"> </w:t>
      </w:r>
      <w:proofErr w:type="spellStart"/>
      <w:r w:rsidRPr="001509A3">
        <w:t>group</w:t>
      </w:r>
      <w:proofErr w:type="spellEnd"/>
      <w:r w:rsidRPr="001509A3">
        <w:t xml:space="preserve"> </w:t>
      </w:r>
      <w:proofErr w:type="spellStart"/>
      <w:r w:rsidRPr="001509A3">
        <w:t>allocation</w:t>
      </w:r>
      <w:proofErr w:type="spellEnd"/>
      <w:r w:rsidRPr="001509A3">
        <w:t xml:space="preserve"> and </w:t>
      </w:r>
      <w:proofErr w:type="spellStart"/>
      <w:r w:rsidRPr="001509A3">
        <w:t>were</w:t>
      </w:r>
      <w:proofErr w:type="spellEnd"/>
      <w:r w:rsidRPr="001509A3">
        <w:t xml:space="preserve"> </w:t>
      </w:r>
      <w:proofErr w:type="spellStart"/>
      <w:r w:rsidRPr="001509A3">
        <w:t>blinded</w:t>
      </w:r>
      <w:proofErr w:type="spellEnd"/>
      <w:r w:rsidRPr="001509A3">
        <w:t xml:space="preserve"> </w:t>
      </w:r>
      <w:proofErr w:type="spellStart"/>
      <w:r w:rsidRPr="001509A3">
        <w:t>to</w:t>
      </w:r>
      <w:proofErr w:type="spellEnd"/>
      <w:r w:rsidRPr="001509A3">
        <w:t xml:space="preserve"> </w:t>
      </w:r>
      <w:proofErr w:type="spellStart"/>
      <w:r w:rsidRPr="001509A3">
        <w:t>treatment</w:t>
      </w:r>
      <w:proofErr w:type="spellEnd"/>
      <w:r w:rsidRPr="001509A3">
        <w:t xml:space="preserve"> </w:t>
      </w:r>
      <w:proofErr w:type="spellStart"/>
      <w:r w:rsidRPr="001509A3">
        <w:t>allocation</w:t>
      </w:r>
      <w:proofErr w:type="spellEnd"/>
      <w:r w:rsidRPr="001509A3">
        <w:t>.</w:t>
      </w:r>
    </w:p>
    <w:p w14:paraId="5ED994AF" w14:textId="77777777" w:rsidR="001509A3" w:rsidRDefault="001509A3" w:rsidP="007D47F1"/>
    <w:p w14:paraId="7D922316" w14:textId="77777777" w:rsidR="007D47F1" w:rsidRPr="007D47F1" w:rsidRDefault="007D47F1" w:rsidP="007D47F1">
      <w:pPr>
        <w:rPr>
          <w:b/>
          <w:bCs/>
        </w:rPr>
      </w:pPr>
      <w:r w:rsidRPr="007D47F1">
        <w:rPr>
          <w:b/>
          <w:bCs/>
        </w:rPr>
        <w:t xml:space="preserve">Data </w:t>
      </w:r>
      <w:proofErr w:type="spellStart"/>
      <w:r w:rsidRPr="007D47F1">
        <w:rPr>
          <w:b/>
          <w:bCs/>
        </w:rPr>
        <w:t>exclusions</w:t>
      </w:r>
      <w:proofErr w:type="spellEnd"/>
    </w:p>
    <w:p w14:paraId="6A58ED9D" w14:textId="77777777" w:rsidR="007D47F1" w:rsidRDefault="007D47F1" w:rsidP="007D47F1">
      <w:proofErr w:type="spellStart"/>
      <w:r>
        <w:t>No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excluded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-root </w:t>
      </w:r>
      <w:proofErr w:type="spellStart"/>
      <w:r>
        <w:t>lesion</w:t>
      </w:r>
      <w:proofErr w:type="spellEnd"/>
      <w:r>
        <w:t xml:space="preserve">-area </w:t>
      </w:r>
      <w:proofErr w:type="spellStart"/>
      <w:r>
        <w:t>analysis</w:t>
      </w:r>
      <w:proofErr w:type="spellEnd"/>
      <w:r>
        <w:t xml:space="preserve">, and </w:t>
      </w:r>
      <w:proofErr w:type="spellStart"/>
      <w:r>
        <w:t>no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outliers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removed</w:t>
      </w:r>
      <w:proofErr w:type="spellEnd"/>
      <w:r>
        <w:t xml:space="preserve">. Per </w:t>
      </w:r>
      <w:proofErr w:type="spellStart"/>
      <w:r>
        <w:t>protocol</w:t>
      </w:r>
      <w:proofErr w:type="spellEnd"/>
      <w:r>
        <w:t xml:space="preserve">, </w:t>
      </w:r>
      <w:proofErr w:type="spellStart"/>
      <w:r>
        <w:t>animals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unsuitable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dosing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replaced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spare </w:t>
      </w:r>
      <w:proofErr w:type="spellStart"/>
      <w:r>
        <w:t>animals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initiation</w:t>
      </w:r>
      <w:proofErr w:type="spellEnd"/>
      <w:r>
        <w:t xml:space="preserve">;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replacement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, </w:t>
      </w:r>
      <w:proofErr w:type="spellStart"/>
      <w:r>
        <w:t>occurs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dosing</w:t>
      </w:r>
      <w:proofErr w:type="spellEnd"/>
      <w:r>
        <w:t xml:space="preserve"> and </w:t>
      </w:r>
      <w:proofErr w:type="spellStart"/>
      <w:r>
        <w:t>does</w:t>
      </w:r>
      <w:proofErr w:type="spellEnd"/>
      <w:r>
        <w:t xml:space="preserve"> not alter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analysed</w:t>
      </w:r>
      <w:proofErr w:type="spellEnd"/>
      <w:r>
        <w:t xml:space="preserve"> n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endpoint</w:t>
      </w:r>
      <w:proofErr w:type="spellEnd"/>
      <w:r>
        <w:t xml:space="preserve"> </w:t>
      </w:r>
      <w:proofErr w:type="spellStart"/>
      <w:r>
        <w:t>dataset</w:t>
      </w:r>
      <w:proofErr w:type="spellEnd"/>
      <w:r>
        <w:t>.</w:t>
      </w:r>
    </w:p>
    <w:p w14:paraId="70A08C27" w14:textId="77777777" w:rsidR="007D47F1" w:rsidRDefault="007D47F1" w:rsidP="007D47F1"/>
    <w:p w14:paraId="5A2DB87D" w14:textId="77777777" w:rsidR="007D47F1" w:rsidRPr="007D47F1" w:rsidRDefault="007D47F1" w:rsidP="007D47F1">
      <w:pPr>
        <w:rPr>
          <w:b/>
          <w:bCs/>
        </w:rPr>
      </w:pPr>
      <w:r w:rsidRPr="007D47F1">
        <w:rPr>
          <w:b/>
          <w:bCs/>
        </w:rPr>
        <w:t xml:space="preserve">Statistical </w:t>
      </w:r>
      <w:proofErr w:type="spellStart"/>
      <w:r w:rsidRPr="007D47F1">
        <w:rPr>
          <w:b/>
          <w:bCs/>
        </w:rPr>
        <w:t>methods</w:t>
      </w:r>
      <w:proofErr w:type="spellEnd"/>
    </w:p>
    <w:p w14:paraId="270B8B39" w14:textId="77777777" w:rsidR="007D47F1" w:rsidRDefault="007D47F1" w:rsidP="007D47F1">
      <w:r>
        <w:t xml:space="preserve">All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two-sided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prespecified</w:t>
      </w:r>
      <w:proofErr w:type="spellEnd"/>
      <w:r>
        <w:t xml:space="preserve"> α=0.05. </w:t>
      </w:r>
      <w:proofErr w:type="spellStart"/>
      <w:r>
        <w:t>Aortic</w:t>
      </w:r>
      <w:proofErr w:type="spellEnd"/>
      <w:r>
        <w:t xml:space="preserve">-root </w:t>
      </w:r>
      <w:proofErr w:type="spellStart"/>
      <w:r>
        <w:t>lesion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one-way</w:t>
      </w:r>
      <w:proofErr w:type="spellEnd"/>
      <w:r>
        <w:t xml:space="preserve"> ANOVA </w:t>
      </w:r>
      <w:proofErr w:type="spellStart"/>
      <w:r>
        <w:t>followed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Dunnett’s</w:t>
      </w:r>
      <w:proofErr w:type="spellEnd"/>
      <w:r>
        <w:t xml:space="preserve"> multiple </w:t>
      </w:r>
      <w:proofErr w:type="spellStart"/>
      <w:r>
        <w:t>comparisons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(</w:t>
      </w:r>
      <w:proofErr w:type="spellStart"/>
      <w:r>
        <w:t>each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dose versus </w:t>
      </w:r>
      <w:proofErr w:type="spellStart"/>
      <w:r>
        <w:t>vehicle</w:t>
      </w:r>
      <w:proofErr w:type="spellEnd"/>
      <w:r>
        <w:t xml:space="preserve">). Data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± SEM </w:t>
      </w:r>
      <w:proofErr w:type="spellStart"/>
      <w:r>
        <w:t>with</w:t>
      </w:r>
      <w:proofErr w:type="spellEnd"/>
      <w:r>
        <w:t xml:space="preserve"> individual </w:t>
      </w:r>
      <w:proofErr w:type="spellStart"/>
      <w:r>
        <w:t>animals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. </w:t>
      </w:r>
      <w:proofErr w:type="spellStart"/>
      <w:r>
        <w:t>Exploratory</w:t>
      </w:r>
      <w:proofErr w:type="spellEnd"/>
      <w:r>
        <w:t xml:space="preserve"> </w:t>
      </w:r>
      <w:proofErr w:type="spellStart"/>
      <w:r>
        <w:t>protease</w:t>
      </w:r>
      <w:proofErr w:type="spellEnd"/>
      <w:r>
        <w:t xml:space="preserve">-inhibitor </w:t>
      </w:r>
      <w:proofErr w:type="spellStart"/>
      <w:r>
        <w:t>arms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</w:t>
      </w:r>
      <w:proofErr w:type="spellStart"/>
      <w:r>
        <w:t>descriptively</w:t>
      </w:r>
      <w:proofErr w:type="spellEnd"/>
      <w:r>
        <w:t xml:space="preserve"> and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-interpretation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sample </w:t>
      </w:r>
      <w:proofErr w:type="spellStart"/>
      <w:r>
        <w:t>size</w:t>
      </w:r>
      <w:proofErr w:type="spellEnd"/>
      <w:r>
        <w:t xml:space="preserve">. Statistical </w:t>
      </w:r>
      <w:proofErr w:type="spellStart"/>
      <w:r>
        <w:t>software</w:t>
      </w:r>
      <w:proofErr w:type="spellEnd"/>
      <w:r>
        <w:t xml:space="preserve">: </w:t>
      </w:r>
      <w:proofErr w:type="spellStart"/>
      <w:r>
        <w:t>GraphPad</w:t>
      </w:r>
      <w:proofErr w:type="spellEnd"/>
      <w:r>
        <w:t xml:space="preserve"> Prism, </w:t>
      </w:r>
      <w:proofErr w:type="spellStart"/>
      <w:r>
        <w:t>version</w:t>
      </w:r>
      <w:proofErr w:type="spellEnd"/>
      <w:r>
        <w:t xml:space="preserve"> 10 (</w:t>
      </w:r>
      <w:proofErr w:type="spellStart"/>
      <w:r>
        <w:t>GraphPad</w:t>
      </w:r>
      <w:proofErr w:type="spellEnd"/>
      <w:r>
        <w:t xml:space="preserve"> Software, San Diego, CA). The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report</w:t>
      </w:r>
      <w:proofErr w:type="spellEnd"/>
      <w:r>
        <w:t xml:space="preserve"> formal </w:t>
      </w:r>
      <w:proofErr w:type="spellStart"/>
      <w:r>
        <w:t>tests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ANOVA </w:t>
      </w:r>
      <w:proofErr w:type="spellStart"/>
      <w:r>
        <w:t>assumptions</w:t>
      </w:r>
      <w:proofErr w:type="spellEnd"/>
      <w:r>
        <w:t xml:space="preserve"> (e.g., </w:t>
      </w:r>
      <w:proofErr w:type="spellStart"/>
      <w:r>
        <w:t>normality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homoscedasticity</w:t>
      </w:r>
      <w:proofErr w:type="spellEnd"/>
      <w:r>
        <w:t>).</w:t>
      </w:r>
    </w:p>
    <w:p w14:paraId="00E8CE32" w14:textId="77777777" w:rsidR="007D47F1" w:rsidRDefault="007D47F1" w:rsidP="007D47F1"/>
    <w:p w14:paraId="7E3B0863" w14:textId="77777777" w:rsidR="007D47F1" w:rsidRPr="007D47F1" w:rsidRDefault="007D47F1" w:rsidP="007D47F1">
      <w:pPr>
        <w:rPr>
          <w:b/>
          <w:bCs/>
        </w:rPr>
      </w:pPr>
      <w:r w:rsidRPr="007D47F1">
        <w:rPr>
          <w:b/>
          <w:bCs/>
        </w:rPr>
        <w:t xml:space="preserve">Data </w:t>
      </w:r>
      <w:proofErr w:type="spellStart"/>
      <w:r w:rsidRPr="007D47F1">
        <w:rPr>
          <w:b/>
          <w:bCs/>
        </w:rPr>
        <w:t>availability</w:t>
      </w:r>
      <w:proofErr w:type="spellEnd"/>
    </w:p>
    <w:p w14:paraId="39BDAEF5" w14:textId="77777777" w:rsidR="007D47F1" w:rsidRDefault="007D47F1" w:rsidP="007D47F1">
      <w:r>
        <w:t xml:space="preserve">All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via </w:t>
      </w:r>
      <w:proofErr w:type="spellStart"/>
      <w:r>
        <w:t>Zenodo</w:t>
      </w:r>
      <w:proofErr w:type="spellEnd"/>
      <w:r>
        <w:t xml:space="preserve"> (DOI: 10.5281/zenodo.16785010). The </w:t>
      </w:r>
      <w:proofErr w:type="spellStart"/>
      <w:r>
        <w:t>repository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raw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-root </w:t>
      </w:r>
      <w:proofErr w:type="spellStart"/>
      <w:r>
        <w:t>histology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, </w:t>
      </w:r>
      <w:proofErr w:type="spellStart"/>
      <w:r>
        <w:t>region-of-interest</w:t>
      </w:r>
      <w:proofErr w:type="spellEnd"/>
      <w:r>
        <w:t xml:space="preserve"> (ROI) </w:t>
      </w:r>
      <w:proofErr w:type="spellStart"/>
      <w:r>
        <w:t>masks</w:t>
      </w:r>
      <w:proofErr w:type="spellEnd"/>
      <w:r>
        <w:t>, per-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plaque</w:t>
      </w:r>
      <w:proofErr w:type="spellEnd"/>
      <w:r>
        <w:t xml:space="preserve">-area </w:t>
      </w:r>
      <w:proofErr w:type="spellStart"/>
      <w:r>
        <w:t>measurements</w:t>
      </w:r>
      <w:proofErr w:type="spellEnd"/>
      <w:r>
        <w:t xml:space="preserve"> (CSV files), </w:t>
      </w:r>
      <w:proofErr w:type="spellStart"/>
      <w:r>
        <w:t>scripts</w:t>
      </w:r>
      <w:proofErr w:type="spellEnd"/>
      <w:r>
        <w:t xml:space="preserve"> </w:t>
      </w:r>
      <w:proofErr w:type="spellStart"/>
      <w:r>
        <w:t>reproducing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one-way</w:t>
      </w:r>
      <w:proofErr w:type="spellEnd"/>
      <w:r>
        <w:t xml:space="preserve"> ANOVA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Dunnett’s</w:t>
      </w:r>
      <w:proofErr w:type="spellEnd"/>
      <w:r>
        <w:t xml:space="preserve"> multiple </w:t>
      </w:r>
      <w:proofErr w:type="spellStart"/>
      <w:r>
        <w:t>comparisons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(CRL Study </w:t>
      </w:r>
      <w:proofErr w:type="spellStart"/>
      <w:r>
        <w:t>No</w:t>
      </w:r>
      <w:proofErr w:type="spellEnd"/>
      <w:r>
        <w:t>. 20238304), and de-</w:t>
      </w:r>
      <w:proofErr w:type="spellStart"/>
      <w:r>
        <w:t>identified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tables</w:t>
      </w:r>
      <w:proofErr w:type="spellEnd"/>
      <w:r>
        <w:t xml:space="preserve">. Source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. </w:t>
      </w:r>
    </w:p>
    <w:p w14:paraId="3CEDCF16" w14:textId="77777777" w:rsidR="007D47F1" w:rsidRDefault="007D47F1" w:rsidP="007D47F1"/>
    <w:p w14:paraId="0A2E4FEB" w14:textId="77777777" w:rsidR="007D47F1" w:rsidRPr="007D47F1" w:rsidRDefault="007D47F1" w:rsidP="007D47F1">
      <w:pPr>
        <w:rPr>
          <w:b/>
          <w:bCs/>
        </w:rPr>
      </w:pPr>
      <w:r w:rsidRPr="007D47F1">
        <w:rPr>
          <w:b/>
          <w:bCs/>
        </w:rPr>
        <w:t xml:space="preserve">Code </w:t>
      </w:r>
      <w:proofErr w:type="spellStart"/>
      <w:r w:rsidRPr="007D47F1">
        <w:rPr>
          <w:b/>
          <w:bCs/>
        </w:rPr>
        <w:t>availability</w:t>
      </w:r>
      <w:proofErr w:type="spellEnd"/>
    </w:p>
    <w:p w14:paraId="2DBCA471" w14:textId="77777777" w:rsidR="007D47F1" w:rsidRDefault="007D47F1" w:rsidP="007D47F1">
      <w:r>
        <w:t xml:space="preserve">Analysis </w:t>
      </w:r>
      <w:proofErr w:type="spellStart"/>
      <w:r>
        <w:t>scripts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reproduce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 xml:space="preserve"> (</w:t>
      </w:r>
      <w:proofErr w:type="spellStart"/>
      <w:r>
        <w:t>one-way</w:t>
      </w:r>
      <w:proofErr w:type="spellEnd"/>
      <w:r>
        <w:t xml:space="preserve"> ANOVA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Dunnett’s</w:t>
      </w:r>
      <w:proofErr w:type="spellEnd"/>
      <w:r>
        <w:t xml:space="preserve"> multiple </w:t>
      </w:r>
      <w:proofErr w:type="spellStart"/>
      <w:r>
        <w:t>comparisons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; CRL Study </w:t>
      </w:r>
      <w:proofErr w:type="spellStart"/>
      <w:r>
        <w:t>No</w:t>
      </w:r>
      <w:proofErr w:type="spellEnd"/>
      <w:r>
        <w:t xml:space="preserve">. 20238304)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via </w:t>
      </w:r>
      <w:proofErr w:type="spellStart"/>
      <w:r>
        <w:t>Zenodo</w:t>
      </w:r>
      <w:proofErr w:type="spellEnd"/>
      <w:r>
        <w:t xml:space="preserve"> (DOI: 10.5281/zenodo.16785010). </w:t>
      </w:r>
      <w:proofErr w:type="spellStart"/>
      <w:r>
        <w:t>No</w:t>
      </w:r>
      <w:proofErr w:type="spellEnd"/>
      <w:r>
        <w:t xml:space="preserve"> additional </w:t>
      </w:r>
      <w:proofErr w:type="spellStart"/>
      <w:r>
        <w:t>custom</w:t>
      </w:r>
      <w:proofErr w:type="spellEnd"/>
      <w:r>
        <w:t xml:space="preserve"> code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scripts</w:t>
      </w:r>
      <w:proofErr w:type="spellEnd"/>
      <w:r>
        <w:t xml:space="preserve"> was </w:t>
      </w:r>
      <w:proofErr w:type="spellStart"/>
      <w:r>
        <w:t>used</w:t>
      </w:r>
      <w:proofErr w:type="spellEnd"/>
      <w:r>
        <w:t xml:space="preserve">. </w:t>
      </w:r>
    </w:p>
    <w:p w14:paraId="38FD5420" w14:textId="77777777" w:rsidR="007D47F1" w:rsidRDefault="007D47F1" w:rsidP="007D47F1"/>
    <w:p w14:paraId="699117A1" w14:textId="77777777" w:rsidR="007D47F1" w:rsidRPr="007D47F1" w:rsidRDefault="007D47F1" w:rsidP="007D47F1">
      <w:pPr>
        <w:rPr>
          <w:b/>
          <w:bCs/>
        </w:rPr>
      </w:pPr>
      <w:proofErr w:type="spellStart"/>
      <w:r w:rsidRPr="007D47F1">
        <w:rPr>
          <w:b/>
          <w:bCs/>
        </w:rPr>
        <w:t>Ethics</w:t>
      </w:r>
      <w:proofErr w:type="spellEnd"/>
    </w:p>
    <w:p w14:paraId="7E446AAE" w14:textId="77777777" w:rsidR="007D47F1" w:rsidRDefault="007D47F1" w:rsidP="007D47F1">
      <w:r>
        <w:t xml:space="preserve">All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Animal Care and Use Committee (IACUC) </w:t>
      </w:r>
      <w:proofErr w:type="spellStart"/>
      <w:r>
        <w:t>of</w:t>
      </w:r>
      <w:proofErr w:type="spellEnd"/>
      <w:r>
        <w:t xml:space="preserve"> Charles River Laboratories Massachusetts (CRMA IACUC; Study </w:t>
      </w:r>
      <w:proofErr w:type="spellStart"/>
      <w:r>
        <w:t>No</w:t>
      </w:r>
      <w:proofErr w:type="spellEnd"/>
      <w:r>
        <w:t xml:space="preserve">. 20238304).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Directive</w:t>
      </w:r>
      <w:proofErr w:type="spellEnd"/>
      <w:r>
        <w:t xml:space="preserve"> 2010/63/EU, </w:t>
      </w:r>
      <w:proofErr w:type="spellStart"/>
      <w:r>
        <w:t>the</w:t>
      </w:r>
      <w:proofErr w:type="spellEnd"/>
      <w:r>
        <w:t xml:space="preserve"> U.S. Animal Welfare Act (9 CFR), </w:t>
      </w:r>
      <w:proofErr w:type="spellStart"/>
      <w:r>
        <w:t>the</w:t>
      </w:r>
      <w:proofErr w:type="spellEnd"/>
      <w:r>
        <w:t xml:space="preserve"> Public Health Service Policy, and </w:t>
      </w:r>
      <w:proofErr w:type="spellStart"/>
      <w:r>
        <w:t>the</w:t>
      </w:r>
      <w:proofErr w:type="spellEnd"/>
      <w:r>
        <w:t xml:space="preserve"> </w:t>
      </w:r>
      <w:proofErr w:type="gramStart"/>
      <w:r>
        <w:t>NIH Guide</w:t>
      </w:r>
      <w:proofErr w:type="gram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Care and Use </w:t>
      </w:r>
      <w:proofErr w:type="spellStart"/>
      <w:r>
        <w:t>of</w:t>
      </w:r>
      <w:proofErr w:type="spellEnd"/>
      <w:r>
        <w:t xml:space="preserve"> Laboratory Animals (8th </w:t>
      </w:r>
      <w:proofErr w:type="spellStart"/>
      <w:r>
        <w:t>edition</w:t>
      </w:r>
      <w:proofErr w:type="spellEnd"/>
      <w:r>
        <w:t xml:space="preserve">). Humane </w:t>
      </w:r>
      <w:proofErr w:type="spellStart"/>
      <w:r>
        <w:t>endpoints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predefined</w:t>
      </w:r>
      <w:proofErr w:type="spellEnd"/>
      <w:r>
        <w:t xml:space="preserve">. </w:t>
      </w:r>
      <w:proofErr w:type="spellStart"/>
      <w:r>
        <w:t>No</w:t>
      </w:r>
      <w:proofErr w:type="spellEnd"/>
      <w:r>
        <w:t xml:space="preserve"> </w:t>
      </w:r>
      <w:proofErr w:type="spellStart"/>
      <w:r>
        <w:t>unexpected</w:t>
      </w:r>
      <w:proofErr w:type="spellEnd"/>
      <w:r>
        <w:t xml:space="preserve"> </w:t>
      </w:r>
      <w:proofErr w:type="spellStart"/>
      <w:r>
        <w:t>mortality</w:t>
      </w:r>
      <w:proofErr w:type="spellEnd"/>
      <w:r>
        <w:t xml:space="preserve"> </w:t>
      </w:r>
      <w:proofErr w:type="spellStart"/>
      <w:r>
        <w:t>occurred</w:t>
      </w:r>
      <w:proofErr w:type="spellEnd"/>
      <w:r>
        <w:t xml:space="preserve">. The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complied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ARRIVE </w:t>
      </w:r>
      <w:proofErr w:type="spellStart"/>
      <w:r>
        <w:t>guidelines</w:t>
      </w:r>
      <w:proofErr w:type="spellEnd"/>
      <w:r>
        <w:t xml:space="preserve">. </w:t>
      </w:r>
    </w:p>
    <w:p w14:paraId="21BD8455" w14:textId="77777777" w:rsidR="007D47F1" w:rsidRDefault="007D47F1" w:rsidP="007D47F1"/>
    <w:p w14:paraId="7E8A72BD" w14:textId="77777777" w:rsidR="007D47F1" w:rsidRPr="007D47F1" w:rsidRDefault="007D47F1" w:rsidP="007D47F1">
      <w:pPr>
        <w:rPr>
          <w:b/>
          <w:bCs/>
        </w:rPr>
      </w:pPr>
      <w:r w:rsidRPr="007D47F1">
        <w:rPr>
          <w:b/>
          <w:bCs/>
        </w:rPr>
        <w:t xml:space="preserve">Human </w:t>
      </w:r>
      <w:proofErr w:type="spellStart"/>
      <w:r w:rsidRPr="007D47F1">
        <w:rPr>
          <w:b/>
          <w:bCs/>
        </w:rPr>
        <w:t>participants</w:t>
      </w:r>
      <w:proofErr w:type="spellEnd"/>
    </w:p>
    <w:p w14:paraId="2060AFE7" w14:textId="77777777" w:rsidR="007D47F1" w:rsidRDefault="007D47F1" w:rsidP="007D47F1">
      <w:r>
        <w:t xml:space="preserve">Not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(</w:t>
      </w:r>
      <w:proofErr w:type="spellStart"/>
      <w:r>
        <w:t>preclinical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). The </w:t>
      </w:r>
      <w:proofErr w:type="spellStart"/>
      <w:r>
        <w:t>Zenodo</w:t>
      </w:r>
      <w:proofErr w:type="spellEnd"/>
      <w:r>
        <w:t xml:space="preserve"> </w:t>
      </w:r>
      <w:proofErr w:type="spellStart"/>
      <w:r>
        <w:t>deposit</w:t>
      </w:r>
      <w:proofErr w:type="spellEnd"/>
      <w:r>
        <w:t xml:space="preserve"> </w:t>
      </w:r>
      <w:proofErr w:type="spellStart"/>
      <w:r>
        <w:t>additionally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de-</w:t>
      </w:r>
      <w:proofErr w:type="spellStart"/>
      <w:r>
        <w:t>identified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tables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prospective</w:t>
      </w:r>
      <w:proofErr w:type="spellEnd"/>
      <w:r>
        <w:t xml:space="preserve"> human </w:t>
      </w:r>
      <w:proofErr w:type="spellStart"/>
      <w:r>
        <w:t>recruitment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, and </w:t>
      </w:r>
      <w:proofErr w:type="spellStart"/>
      <w:r>
        <w:t>no</w:t>
      </w:r>
      <w:proofErr w:type="spellEnd"/>
      <w:r>
        <w:t xml:space="preserve"> </w:t>
      </w:r>
      <w:proofErr w:type="spellStart"/>
      <w:r>
        <w:t>identifiable</w:t>
      </w:r>
      <w:proofErr w:type="spellEnd"/>
      <w:r>
        <w:t xml:space="preserve"> personal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>.</w:t>
      </w:r>
    </w:p>
    <w:p w14:paraId="3848F27B" w14:textId="77777777" w:rsidR="007D47F1" w:rsidRDefault="007D47F1" w:rsidP="007D47F1"/>
    <w:p w14:paraId="618B300C" w14:textId="77777777" w:rsidR="007D47F1" w:rsidRPr="007D47F1" w:rsidRDefault="007D47F1" w:rsidP="007D47F1">
      <w:pPr>
        <w:rPr>
          <w:b/>
          <w:bCs/>
        </w:rPr>
      </w:pPr>
      <w:proofErr w:type="spellStart"/>
      <w:r w:rsidRPr="007D47F1">
        <w:rPr>
          <w:b/>
          <w:bCs/>
        </w:rPr>
        <w:t>Cell</w:t>
      </w:r>
      <w:proofErr w:type="spellEnd"/>
      <w:r w:rsidRPr="007D47F1">
        <w:rPr>
          <w:b/>
          <w:bCs/>
        </w:rPr>
        <w:t xml:space="preserve"> </w:t>
      </w:r>
      <w:proofErr w:type="spellStart"/>
      <w:r w:rsidRPr="007D47F1">
        <w:rPr>
          <w:b/>
          <w:bCs/>
        </w:rPr>
        <w:t>lines</w:t>
      </w:r>
      <w:proofErr w:type="spellEnd"/>
    </w:p>
    <w:p w14:paraId="33BF349F" w14:textId="77777777" w:rsidR="007D47F1" w:rsidRDefault="007D47F1" w:rsidP="007D47F1">
      <w:r>
        <w:t xml:space="preserve">Not </w:t>
      </w:r>
      <w:proofErr w:type="spellStart"/>
      <w:r>
        <w:t>applicable</w:t>
      </w:r>
      <w:proofErr w:type="spellEnd"/>
      <w:r>
        <w:t xml:space="preserve">. </w:t>
      </w:r>
    </w:p>
    <w:p w14:paraId="72C81D46" w14:textId="77777777" w:rsidR="007D47F1" w:rsidRDefault="007D47F1" w:rsidP="00C976A3"/>
    <w:sectPr w:rsidR="007D47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60"/>
    <w:rsid w:val="001509A3"/>
    <w:rsid w:val="002226FE"/>
    <w:rsid w:val="002325AC"/>
    <w:rsid w:val="002F4972"/>
    <w:rsid w:val="004A35FE"/>
    <w:rsid w:val="005424DE"/>
    <w:rsid w:val="005D0A96"/>
    <w:rsid w:val="006C4F60"/>
    <w:rsid w:val="007D47F1"/>
    <w:rsid w:val="009F00D6"/>
    <w:rsid w:val="00BA10E6"/>
    <w:rsid w:val="00C0244E"/>
    <w:rsid w:val="00C976A3"/>
    <w:rsid w:val="00F2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258C"/>
  <w15:chartTrackingRefBased/>
  <w15:docId w15:val="{09CE7045-2560-45F1-949C-98B7E092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4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4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4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4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4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4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4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4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4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4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4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4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4F6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4F6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4F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4F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4F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4F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4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4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4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4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4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4F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4F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4F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4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4F6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4F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C4F6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4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972</Words>
  <Characters>6175</Characters>
  <Application>Microsoft Office Word</Application>
  <DocSecurity>0</DocSecurity>
  <Lines>114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Gunther Burgard</dc:creator>
  <cp:keywords/>
  <dc:description/>
  <cp:lastModifiedBy>Gunther Burgard</cp:lastModifiedBy>
  <cp:revision>9</cp:revision>
  <dcterms:created xsi:type="dcterms:W3CDTF">2026-03-04T16:59:00Z</dcterms:created>
  <dcterms:modified xsi:type="dcterms:W3CDTF">2026-03-27T08:26:00Z</dcterms:modified>
</cp:coreProperties>
</file>