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A6C13" w14:textId="77777777" w:rsidR="00994113" w:rsidRDefault="00994113" w:rsidP="00994113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31D58577">
        <w:rPr>
          <w:rFonts w:ascii="Times New Roman" w:eastAsia="Times New Roman" w:hAnsi="Times New Roman" w:cs="Times New Roman"/>
          <w:b/>
          <w:bCs/>
          <w:color w:val="000000" w:themeColor="text1"/>
        </w:rPr>
        <w:t>Supplementary Materials 5.</w:t>
      </w:r>
    </w:p>
    <w:p w14:paraId="7470EA2B" w14:textId="77777777" w:rsidR="00994113" w:rsidRDefault="00994113" w:rsidP="00994113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31D58577">
        <w:rPr>
          <w:rFonts w:ascii="Times New Roman" w:eastAsia="Times New Roman" w:hAnsi="Times New Roman" w:cs="Times New Roman"/>
          <w:b/>
          <w:bCs/>
          <w:color w:val="000000" w:themeColor="text1"/>
        </w:rPr>
        <w:t>Qualitative Findings Structured by SWOT Framework (Healthcare Workers)</w:t>
      </w:r>
    </w:p>
    <w:p w14:paraId="2AD46896" w14:textId="77777777" w:rsidR="00994113" w:rsidRDefault="00994113" w:rsidP="00994113">
      <w:pPr>
        <w:jc w:val="center"/>
      </w:pPr>
    </w:p>
    <w:tbl>
      <w:tblPr>
        <w:tblStyle w:val="TableGridLight"/>
        <w:tblW w:w="0" w:type="auto"/>
        <w:tblLook w:val="06A0" w:firstRow="1" w:lastRow="0" w:firstColumn="1" w:lastColumn="0" w:noHBand="1" w:noVBand="1"/>
      </w:tblPr>
      <w:tblGrid>
        <w:gridCol w:w="1515"/>
        <w:gridCol w:w="2010"/>
        <w:gridCol w:w="2085"/>
        <w:gridCol w:w="3310"/>
      </w:tblGrid>
      <w:tr w:rsidR="00994113" w14:paraId="7039C6BF" w14:textId="77777777" w:rsidTr="008921CB">
        <w:trPr>
          <w:trHeight w:val="300"/>
        </w:trPr>
        <w:tc>
          <w:tcPr>
            <w:tcW w:w="1515" w:type="dxa"/>
          </w:tcPr>
          <w:p w14:paraId="31BD0ACD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SWOT Domain</w:t>
            </w:r>
          </w:p>
        </w:tc>
        <w:tc>
          <w:tcPr>
            <w:tcW w:w="2010" w:type="dxa"/>
          </w:tcPr>
          <w:p w14:paraId="3C5418D0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Theme</w:t>
            </w:r>
          </w:p>
        </w:tc>
        <w:tc>
          <w:tcPr>
            <w:tcW w:w="2085" w:type="dxa"/>
          </w:tcPr>
          <w:p w14:paraId="0148C233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Subtheme</w:t>
            </w:r>
          </w:p>
        </w:tc>
        <w:tc>
          <w:tcPr>
            <w:tcW w:w="3310" w:type="dxa"/>
          </w:tcPr>
          <w:p w14:paraId="5F4EE1D0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Illustrative Quote (with ID)</w:t>
            </w:r>
          </w:p>
        </w:tc>
      </w:tr>
      <w:tr w:rsidR="00994113" w14:paraId="45792C7C" w14:textId="77777777" w:rsidTr="008921CB">
        <w:trPr>
          <w:trHeight w:val="300"/>
        </w:trPr>
        <w:tc>
          <w:tcPr>
            <w:tcW w:w="1515" w:type="dxa"/>
          </w:tcPr>
          <w:p w14:paraId="738A7F0D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Strengths</w:t>
            </w:r>
          </w:p>
        </w:tc>
        <w:tc>
          <w:tcPr>
            <w:tcW w:w="2010" w:type="dxa"/>
          </w:tcPr>
          <w:p w14:paraId="233904B2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Existing Collaborative Practices</w:t>
            </w:r>
          </w:p>
        </w:tc>
        <w:tc>
          <w:tcPr>
            <w:tcW w:w="2085" w:type="dxa"/>
          </w:tcPr>
          <w:p w14:paraId="5D75D497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Types of collaboration (direct, indirect, inpatient, outpatient)</w:t>
            </w:r>
          </w:p>
        </w:tc>
        <w:tc>
          <w:tcPr>
            <w:tcW w:w="3310" w:type="dxa"/>
          </w:tcPr>
          <w:p w14:paraId="0C6979FA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“I'm going to pick up the phone and talk to somebody and get guidance about the management of a patient.” (Q03)</w:t>
            </w:r>
            <w:r>
              <w:br/>
            </w:r>
            <w:r>
              <w:br/>
            </w: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“I can refer a patient to a kind of higher level of care.” (Q03)</w:t>
            </w:r>
          </w:p>
        </w:tc>
      </w:tr>
      <w:tr w:rsidR="00994113" w14:paraId="796FBDF8" w14:textId="77777777" w:rsidTr="008921CB">
        <w:trPr>
          <w:trHeight w:val="300"/>
        </w:trPr>
        <w:tc>
          <w:tcPr>
            <w:tcW w:w="1515" w:type="dxa"/>
          </w:tcPr>
          <w:p w14:paraId="54AC6185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Strengths</w:t>
            </w:r>
          </w:p>
        </w:tc>
        <w:tc>
          <w:tcPr>
            <w:tcW w:w="2010" w:type="dxa"/>
          </w:tcPr>
          <w:p w14:paraId="7426084D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Strengths of Current Models</w:t>
            </w:r>
          </w:p>
        </w:tc>
        <w:tc>
          <w:tcPr>
            <w:tcW w:w="2085" w:type="dxa"/>
          </w:tcPr>
          <w:p w14:paraId="72195BC5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Capacity building</w:t>
            </w:r>
          </w:p>
        </w:tc>
        <w:tc>
          <w:tcPr>
            <w:tcW w:w="3310" w:type="dxa"/>
          </w:tcPr>
          <w:p w14:paraId="51E280B0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“I could just ask a question, get an answer… and now I know that for the next patient.” (Q07)</w:t>
            </w:r>
          </w:p>
        </w:tc>
      </w:tr>
      <w:tr w:rsidR="00994113" w14:paraId="7F725966" w14:textId="77777777" w:rsidTr="008921CB">
        <w:trPr>
          <w:trHeight w:val="300"/>
        </w:trPr>
        <w:tc>
          <w:tcPr>
            <w:tcW w:w="1515" w:type="dxa"/>
          </w:tcPr>
          <w:p w14:paraId="4ED7D1B9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0" w:type="dxa"/>
          </w:tcPr>
          <w:p w14:paraId="48957F26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2A3B9F96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0" w:type="dxa"/>
          </w:tcPr>
          <w:p w14:paraId="4C65FB9B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</w:tr>
      <w:tr w:rsidR="00994113" w14:paraId="0F37F69A" w14:textId="77777777" w:rsidTr="008921CB">
        <w:trPr>
          <w:trHeight w:val="300"/>
        </w:trPr>
        <w:tc>
          <w:tcPr>
            <w:tcW w:w="1515" w:type="dxa"/>
          </w:tcPr>
          <w:p w14:paraId="60DC9411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09292D51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0BBC2770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Team-based care</w:t>
            </w:r>
          </w:p>
        </w:tc>
        <w:tc>
          <w:tcPr>
            <w:tcW w:w="3310" w:type="dxa"/>
          </w:tcPr>
          <w:p w14:paraId="4C41B134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“Because we have same day availability, they can connect that patient to the BHC.” (Q05)</w:t>
            </w:r>
          </w:p>
        </w:tc>
      </w:tr>
      <w:tr w:rsidR="00994113" w14:paraId="1049E3D4" w14:textId="77777777" w:rsidTr="008921CB">
        <w:trPr>
          <w:trHeight w:val="300"/>
        </w:trPr>
        <w:tc>
          <w:tcPr>
            <w:tcW w:w="1515" w:type="dxa"/>
          </w:tcPr>
          <w:p w14:paraId="70FC3C32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179E4A98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2EA06995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Multiple perspectives</w:t>
            </w:r>
          </w:p>
        </w:tc>
        <w:tc>
          <w:tcPr>
            <w:tcW w:w="3310" w:type="dxa"/>
          </w:tcPr>
          <w:p w14:paraId="5AFF5417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“You’re getting multiple perspectives on the same case instead of working in isolation.” (Q05)</w:t>
            </w:r>
          </w:p>
        </w:tc>
      </w:tr>
      <w:tr w:rsidR="00994113" w14:paraId="61814EAC" w14:textId="77777777" w:rsidTr="008921CB">
        <w:trPr>
          <w:trHeight w:val="300"/>
        </w:trPr>
        <w:tc>
          <w:tcPr>
            <w:tcW w:w="1515" w:type="dxa"/>
          </w:tcPr>
          <w:p w14:paraId="7DB5FDF3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Weaknesses</w:t>
            </w:r>
          </w:p>
        </w:tc>
        <w:tc>
          <w:tcPr>
            <w:tcW w:w="2010" w:type="dxa"/>
          </w:tcPr>
          <w:p w14:paraId="49DC4D7C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Limitations of Current Collaborative Practices</w:t>
            </w:r>
          </w:p>
        </w:tc>
        <w:tc>
          <w:tcPr>
            <w:tcW w:w="2085" w:type="dxa"/>
          </w:tcPr>
          <w:p w14:paraId="239571C7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Staffing limitations</w:t>
            </w:r>
          </w:p>
        </w:tc>
        <w:tc>
          <w:tcPr>
            <w:tcW w:w="3310" w:type="dxa"/>
          </w:tcPr>
          <w:p w14:paraId="373AB011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“We don’t have any mental health care providers… no social workers, </w:t>
            </w:r>
            <w:proofErr w:type="spellStart"/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counselors</w:t>
            </w:r>
            <w:proofErr w:type="spellEnd"/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, psychologists. We have none of that.” (Q07)</w:t>
            </w:r>
          </w:p>
        </w:tc>
      </w:tr>
      <w:tr w:rsidR="00994113" w14:paraId="60DBA99E" w14:textId="77777777" w:rsidTr="008921CB">
        <w:trPr>
          <w:trHeight w:val="300"/>
        </w:trPr>
        <w:tc>
          <w:tcPr>
            <w:tcW w:w="1515" w:type="dxa"/>
          </w:tcPr>
          <w:p w14:paraId="38B3F5CD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6AE980BA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1AFC55CF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Outdated referral processes</w:t>
            </w:r>
          </w:p>
        </w:tc>
        <w:tc>
          <w:tcPr>
            <w:tcW w:w="3310" w:type="dxa"/>
          </w:tcPr>
          <w:p w14:paraId="5D74B1F3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“It wasn’t straightforward… I had to call 10 different people.” (Q03)</w:t>
            </w:r>
          </w:p>
        </w:tc>
      </w:tr>
      <w:tr w:rsidR="00994113" w14:paraId="0236CC57" w14:textId="77777777" w:rsidTr="008921CB">
        <w:trPr>
          <w:trHeight w:val="300"/>
        </w:trPr>
        <w:tc>
          <w:tcPr>
            <w:tcW w:w="1515" w:type="dxa"/>
          </w:tcPr>
          <w:p w14:paraId="6606F347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33AFE5AD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7E0AF37D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Administrative burden</w:t>
            </w:r>
          </w:p>
        </w:tc>
        <w:tc>
          <w:tcPr>
            <w:tcW w:w="3310" w:type="dxa"/>
          </w:tcPr>
          <w:p w14:paraId="052BF3DB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“A lot of it looks good on paper, but it doesn’t work like that in practice.” (Q03)</w:t>
            </w:r>
          </w:p>
        </w:tc>
      </w:tr>
      <w:tr w:rsidR="00994113" w14:paraId="714D0C2E" w14:textId="77777777" w:rsidTr="008921CB">
        <w:trPr>
          <w:trHeight w:val="300"/>
        </w:trPr>
        <w:tc>
          <w:tcPr>
            <w:tcW w:w="1515" w:type="dxa"/>
          </w:tcPr>
          <w:p w14:paraId="0B49C66D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Weaknesses</w:t>
            </w:r>
          </w:p>
        </w:tc>
        <w:tc>
          <w:tcPr>
            <w:tcW w:w="2010" w:type="dxa"/>
          </w:tcPr>
          <w:p w14:paraId="284E0C82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Infrastructure Gaps</w:t>
            </w:r>
          </w:p>
        </w:tc>
        <w:tc>
          <w:tcPr>
            <w:tcW w:w="2085" w:type="dxa"/>
          </w:tcPr>
          <w:p w14:paraId="55429794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EMR incompatibility</w:t>
            </w:r>
          </w:p>
        </w:tc>
        <w:tc>
          <w:tcPr>
            <w:tcW w:w="3310" w:type="dxa"/>
          </w:tcPr>
          <w:p w14:paraId="76BDFAD7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“They switched systems, and now we have no access to that information.” (Q08)</w:t>
            </w:r>
          </w:p>
        </w:tc>
      </w:tr>
      <w:tr w:rsidR="00994113" w14:paraId="7B3B5D00" w14:textId="77777777" w:rsidTr="008921CB">
        <w:trPr>
          <w:trHeight w:val="300"/>
        </w:trPr>
        <w:tc>
          <w:tcPr>
            <w:tcW w:w="1515" w:type="dxa"/>
          </w:tcPr>
          <w:p w14:paraId="33D92724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2CBF4F3F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424FDC15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Poor information sharing</w:t>
            </w:r>
          </w:p>
        </w:tc>
        <w:tc>
          <w:tcPr>
            <w:tcW w:w="3310" w:type="dxa"/>
          </w:tcPr>
          <w:p w14:paraId="0CBAF450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“It relies on memory… there’s no documentation when advice is given informally.” (Q03)</w:t>
            </w:r>
          </w:p>
        </w:tc>
      </w:tr>
      <w:tr w:rsidR="00994113" w14:paraId="7D9A6964" w14:textId="77777777" w:rsidTr="008921CB">
        <w:trPr>
          <w:trHeight w:val="300"/>
        </w:trPr>
        <w:tc>
          <w:tcPr>
            <w:tcW w:w="1515" w:type="dxa"/>
          </w:tcPr>
          <w:p w14:paraId="2F6BD531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Opportunities</w:t>
            </w:r>
          </w:p>
        </w:tc>
        <w:tc>
          <w:tcPr>
            <w:tcW w:w="2010" w:type="dxa"/>
          </w:tcPr>
          <w:p w14:paraId="56DE8CF2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Strengthening System Design</w:t>
            </w:r>
          </w:p>
        </w:tc>
        <w:tc>
          <w:tcPr>
            <w:tcW w:w="2085" w:type="dxa"/>
          </w:tcPr>
          <w:p w14:paraId="32D1F914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Benefits of standardization</w:t>
            </w:r>
          </w:p>
        </w:tc>
        <w:tc>
          <w:tcPr>
            <w:tcW w:w="3310" w:type="dxa"/>
          </w:tcPr>
          <w:p w14:paraId="3C4D53F3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“…if we could standardize care, yes, it would be great across the province.” (Q09)</w:t>
            </w:r>
          </w:p>
        </w:tc>
      </w:tr>
      <w:tr w:rsidR="00994113" w14:paraId="7A7B7521" w14:textId="77777777" w:rsidTr="008921CB">
        <w:trPr>
          <w:trHeight w:val="300"/>
        </w:trPr>
        <w:tc>
          <w:tcPr>
            <w:tcW w:w="1515" w:type="dxa"/>
          </w:tcPr>
          <w:p w14:paraId="27CA128C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0E364A06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53C26E64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Equitable rural access</w:t>
            </w:r>
          </w:p>
        </w:tc>
        <w:tc>
          <w:tcPr>
            <w:tcW w:w="3310" w:type="dxa"/>
          </w:tcPr>
          <w:p w14:paraId="6511E498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“We don’t have what the big cities have. Standardization could help that.” (Q09)</w:t>
            </w:r>
          </w:p>
        </w:tc>
      </w:tr>
      <w:tr w:rsidR="00994113" w14:paraId="04C954E5" w14:textId="77777777" w:rsidTr="008921CB">
        <w:trPr>
          <w:trHeight w:val="300"/>
        </w:trPr>
        <w:tc>
          <w:tcPr>
            <w:tcW w:w="1515" w:type="dxa"/>
          </w:tcPr>
          <w:p w14:paraId="6D4971FD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Opportunities</w:t>
            </w:r>
          </w:p>
        </w:tc>
        <w:tc>
          <w:tcPr>
            <w:tcW w:w="2010" w:type="dxa"/>
          </w:tcPr>
          <w:p w14:paraId="35A6F29E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Practice Improvement Opportunities</w:t>
            </w:r>
          </w:p>
        </w:tc>
        <w:tc>
          <w:tcPr>
            <w:tcW w:w="2085" w:type="dxa"/>
          </w:tcPr>
          <w:p w14:paraId="60B66D0A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Time efficiency</w:t>
            </w:r>
          </w:p>
        </w:tc>
        <w:tc>
          <w:tcPr>
            <w:tcW w:w="3310" w:type="dxa"/>
          </w:tcPr>
          <w:p w14:paraId="51820A13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“It changed my practice… it was immediate, and the patient benefited.” (Q07)</w:t>
            </w:r>
          </w:p>
        </w:tc>
      </w:tr>
      <w:tr w:rsidR="00994113" w14:paraId="0DEB76CB" w14:textId="77777777" w:rsidTr="008921CB">
        <w:trPr>
          <w:trHeight w:val="300"/>
        </w:trPr>
        <w:tc>
          <w:tcPr>
            <w:tcW w:w="1515" w:type="dxa"/>
          </w:tcPr>
          <w:p w14:paraId="3ACA8E70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07C72FD7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7F82F3B7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Communication improvement</w:t>
            </w:r>
          </w:p>
        </w:tc>
        <w:tc>
          <w:tcPr>
            <w:tcW w:w="3310" w:type="dxa"/>
          </w:tcPr>
          <w:p w14:paraId="5DCC9E8D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“Better communication between providers would make a huge difference.” (Q10)</w:t>
            </w:r>
          </w:p>
        </w:tc>
      </w:tr>
      <w:tr w:rsidR="00994113" w14:paraId="28445BC3" w14:textId="77777777" w:rsidTr="008921CB">
        <w:trPr>
          <w:trHeight w:val="300"/>
        </w:trPr>
        <w:tc>
          <w:tcPr>
            <w:tcW w:w="1515" w:type="dxa"/>
          </w:tcPr>
          <w:p w14:paraId="1D390EFB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310086BB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7C3D7BB6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Expanding resources</w:t>
            </w:r>
          </w:p>
        </w:tc>
        <w:tc>
          <w:tcPr>
            <w:tcW w:w="3310" w:type="dxa"/>
          </w:tcPr>
          <w:p w14:paraId="5DBFF5C5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“There’s opportunity to expand beyond just hallway conversations.” (Q03)</w:t>
            </w:r>
          </w:p>
        </w:tc>
      </w:tr>
      <w:tr w:rsidR="00994113" w14:paraId="41616116" w14:textId="77777777" w:rsidTr="008921CB">
        <w:trPr>
          <w:trHeight w:val="300"/>
        </w:trPr>
        <w:tc>
          <w:tcPr>
            <w:tcW w:w="1515" w:type="dxa"/>
          </w:tcPr>
          <w:p w14:paraId="61810F78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Threats</w:t>
            </w:r>
          </w:p>
        </w:tc>
        <w:tc>
          <w:tcPr>
            <w:tcW w:w="2010" w:type="dxa"/>
          </w:tcPr>
          <w:p w14:paraId="2F3B614F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Structural Barriers to Implementation</w:t>
            </w:r>
          </w:p>
        </w:tc>
        <w:tc>
          <w:tcPr>
            <w:tcW w:w="2085" w:type="dxa"/>
          </w:tcPr>
          <w:p w14:paraId="1410F110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Workforce shortages</w:t>
            </w:r>
          </w:p>
        </w:tc>
        <w:tc>
          <w:tcPr>
            <w:tcW w:w="3310" w:type="dxa"/>
          </w:tcPr>
          <w:p w14:paraId="68FCB2B9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“We simply don’t have the specialists or team members needed.” (Q07)</w:t>
            </w:r>
          </w:p>
        </w:tc>
      </w:tr>
      <w:tr w:rsidR="00994113" w14:paraId="5F84DEFB" w14:textId="77777777" w:rsidTr="008921CB">
        <w:trPr>
          <w:trHeight w:val="300"/>
        </w:trPr>
        <w:tc>
          <w:tcPr>
            <w:tcW w:w="1515" w:type="dxa"/>
          </w:tcPr>
          <w:p w14:paraId="4FD668D3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6F804CB4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280B7E5E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Specialist practice restrictions</w:t>
            </w:r>
          </w:p>
        </w:tc>
        <w:tc>
          <w:tcPr>
            <w:tcW w:w="3310" w:type="dxa"/>
          </w:tcPr>
          <w:p w14:paraId="5BFBA20E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“Once I become the MRP, I have certain obligations… there are strict rules.” (Q02)</w:t>
            </w:r>
          </w:p>
        </w:tc>
      </w:tr>
      <w:tr w:rsidR="00994113" w14:paraId="7026B4DD" w14:textId="77777777" w:rsidTr="008921CB">
        <w:trPr>
          <w:trHeight w:val="300"/>
        </w:trPr>
        <w:tc>
          <w:tcPr>
            <w:tcW w:w="1515" w:type="dxa"/>
          </w:tcPr>
          <w:p w14:paraId="076B329B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Threats</w:t>
            </w:r>
          </w:p>
        </w:tc>
        <w:tc>
          <w:tcPr>
            <w:tcW w:w="2010" w:type="dxa"/>
          </w:tcPr>
          <w:p w14:paraId="36811B9B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System-Level Constraints</w:t>
            </w:r>
          </w:p>
        </w:tc>
        <w:tc>
          <w:tcPr>
            <w:tcW w:w="2085" w:type="dxa"/>
          </w:tcPr>
          <w:p w14:paraId="120CE519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Funding limitations</w:t>
            </w:r>
          </w:p>
        </w:tc>
        <w:tc>
          <w:tcPr>
            <w:tcW w:w="3310" w:type="dxa"/>
          </w:tcPr>
          <w:p w14:paraId="13BDB71E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“Part of the grant had to cover overhead that otherwise wouldn’t be funded.” (Q11)</w:t>
            </w:r>
          </w:p>
        </w:tc>
      </w:tr>
      <w:tr w:rsidR="00994113" w14:paraId="1E47BA02" w14:textId="77777777" w:rsidTr="008921CB">
        <w:trPr>
          <w:trHeight w:val="300"/>
        </w:trPr>
        <w:tc>
          <w:tcPr>
            <w:tcW w:w="1515" w:type="dxa"/>
          </w:tcPr>
          <w:p w14:paraId="17F5809E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4053EA77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6E56B27E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Geographic inequity</w:t>
            </w:r>
          </w:p>
        </w:tc>
        <w:tc>
          <w:tcPr>
            <w:tcW w:w="3310" w:type="dxa"/>
          </w:tcPr>
          <w:p w14:paraId="0F0A6EC2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“Access is fundamentally different depending on where you live.” (Q09)</w:t>
            </w:r>
          </w:p>
        </w:tc>
      </w:tr>
      <w:tr w:rsidR="00994113" w14:paraId="6D415A66" w14:textId="77777777" w:rsidTr="008921CB">
        <w:trPr>
          <w:trHeight w:val="300"/>
        </w:trPr>
        <w:tc>
          <w:tcPr>
            <w:tcW w:w="1515" w:type="dxa"/>
          </w:tcPr>
          <w:p w14:paraId="40B794AD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10" w:type="dxa"/>
          </w:tcPr>
          <w:p w14:paraId="5DCF824B" w14:textId="77777777" w:rsidR="00994113" w:rsidRDefault="00994113" w:rsidP="008921CB">
            <w:pPr>
              <w:ind w:left="-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</w:tcPr>
          <w:p w14:paraId="7CC66217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Technological limitations</w:t>
            </w:r>
          </w:p>
        </w:tc>
        <w:tc>
          <w:tcPr>
            <w:tcW w:w="3310" w:type="dxa"/>
          </w:tcPr>
          <w:p w14:paraId="61AE0D4E" w14:textId="77777777" w:rsidR="00994113" w:rsidRDefault="00994113" w:rsidP="008921CB">
            <w:pPr>
              <w:spacing w:after="200"/>
              <w:ind w:left="-115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31D58577">
              <w:rPr>
                <w:rFonts w:ascii="Times New Roman" w:eastAsia="Times New Roman" w:hAnsi="Times New Roman" w:cs="Times New Roman"/>
                <w:color w:val="000000" w:themeColor="text1"/>
              </w:rPr>
              <w:t>“…start with having a really solid EMR so we can actually be in better contact.” (Q10)</w:t>
            </w:r>
          </w:p>
        </w:tc>
      </w:tr>
    </w:tbl>
    <w:p w14:paraId="5581BE4F" w14:textId="77777777" w:rsidR="00994113" w:rsidRDefault="00994113" w:rsidP="00994113">
      <w:pPr>
        <w:spacing w:after="200"/>
      </w:pPr>
      <w:r w:rsidRPr="31D58577">
        <w:rPr>
          <w:rFonts w:ascii="Cambria" w:eastAsia="Cambria" w:hAnsi="Cambria" w:cs="Cambria"/>
          <w:color w:val="000000" w:themeColor="text1"/>
          <w:sz w:val="18"/>
          <w:szCs w:val="18"/>
        </w:rPr>
        <w:t>Note: Participant identifiers (e.g., Q03) refer to de-identified interview participants. Themes and subthemes were derived through inductive thematic analysis and subsequently organized within a SWOT (Strengths, Weaknesses, Opportunities, Threats) framework to support integration with quantitative findings.</w:t>
      </w:r>
    </w:p>
    <w:p w14:paraId="6D6ED269" w14:textId="77777777" w:rsidR="00994113" w:rsidRDefault="00994113" w:rsidP="00994113">
      <w:pPr>
        <w:spacing w:after="200"/>
        <w:rPr>
          <w:rFonts w:ascii="Cambria" w:eastAsia="Cambria" w:hAnsi="Cambria" w:cs="Cambria"/>
          <w:color w:val="000000" w:themeColor="text1"/>
          <w:sz w:val="18"/>
          <w:szCs w:val="18"/>
        </w:rPr>
      </w:pPr>
    </w:p>
    <w:p w14:paraId="4F8AEDB2" w14:textId="77777777" w:rsidR="00994113" w:rsidRDefault="00994113" w:rsidP="00994113">
      <w:pPr>
        <w:spacing w:after="200"/>
        <w:rPr>
          <w:rFonts w:ascii="Cambria" w:eastAsia="Cambria" w:hAnsi="Cambria" w:cs="Cambria"/>
          <w:color w:val="000000" w:themeColor="text1"/>
          <w:sz w:val="18"/>
          <w:szCs w:val="18"/>
        </w:rPr>
      </w:pPr>
    </w:p>
    <w:p w14:paraId="1FCDA0B4" w14:textId="77777777" w:rsidR="00994113" w:rsidRDefault="00994113" w:rsidP="00994113">
      <w:pPr>
        <w:spacing w:after="200"/>
        <w:rPr>
          <w:rFonts w:ascii="Cambria" w:eastAsia="Cambria" w:hAnsi="Cambria" w:cs="Cambria"/>
          <w:color w:val="000000" w:themeColor="text1"/>
          <w:sz w:val="18"/>
          <w:szCs w:val="18"/>
        </w:rPr>
      </w:pPr>
    </w:p>
    <w:p w14:paraId="2E9AE778" w14:textId="77777777" w:rsidR="00994113" w:rsidRDefault="00994113" w:rsidP="00994113">
      <w:pPr>
        <w:spacing w:after="200"/>
        <w:rPr>
          <w:rFonts w:ascii="Cambria" w:eastAsia="Cambria" w:hAnsi="Cambria" w:cs="Cambria"/>
          <w:color w:val="000000" w:themeColor="text1"/>
          <w:sz w:val="18"/>
          <w:szCs w:val="18"/>
        </w:rPr>
      </w:pPr>
    </w:p>
    <w:p w14:paraId="07AEA46A" w14:textId="77777777" w:rsidR="00994113" w:rsidRDefault="00994113" w:rsidP="00994113">
      <w:pPr>
        <w:spacing w:after="200"/>
        <w:rPr>
          <w:rFonts w:ascii="Cambria" w:eastAsia="Cambria" w:hAnsi="Cambria" w:cs="Cambria"/>
          <w:color w:val="000000" w:themeColor="text1"/>
          <w:sz w:val="18"/>
          <w:szCs w:val="18"/>
        </w:rPr>
      </w:pPr>
    </w:p>
    <w:p w14:paraId="51E6245D" w14:textId="77777777" w:rsidR="00994113" w:rsidRDefault="00994113" w:rsidP="00994113">
      <w:pPr>
        <w:spacing w:after="200"/>
        <w:rPr>
          <w:rFonts w:ascii="Cambria" w:eastAsia="Cambria" w:hAnsi="Cambria" w:cs="Cambria"/>
          <w:color w:val="000000" w:themeColor="text1"/>
          <w:sz w:val="18"/>
          <w:szCs w:val="18"/>
        </w:rPr>
      </w:pPr>
    </w:p>
    <w:p w14:paraId="5E5852F1" w14:textId="77777777" w:rsidR="00263844" w:rsidRDefault="00263844"/>
    <w:sectPr w:rsidR="002638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13"/>
    <w:rsid w:val="000F77F7"/>
    <w:rsid w:val="00263844"/>
    <w:rsid w:val="005A5A5B"/>
    <w:rsid w:val="006F4A30"/>
    <w:rsid w:val="00994113"/>
    <w:rsid w:val="00BC2500"/>
    <w:rsid w:val="00CF3E98"/>
    <w:rsid w:val="00D5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1A06A"/>
  <w15:chartTrackingRefBased/>
  <w15:docId w15:val="{2DE7CB19-F109-4509-9A4E-6E1DE7C9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13"/>
    <w:pPr>
      <w:spacing w:line="279" w:lineRule="auto"/>
    </w:pPr>
    <w:rPr>
      <w:rFonts w:eastAsiaTheme="minorEastAsia"/>
      <w:kern w:val="0"/>
      <w:sz w:val="24"/>
      <w:szCs w:val="24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11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11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11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11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CA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1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CA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1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CA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1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CA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1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CA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1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CA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4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1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4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113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CA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4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113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val="en-CA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4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en-CA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113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994113"/>
    <w:pPr>
      <w:spacing w:after="0" w:line="240" w:lineRule="auto"/>
    </w:pPr>
    <w:rPr>
      <w:rFonts w:eastAsiaTheme="minorEastAsia"/>
      <w:kern w:val="0"/>
      <w:sz w:val="24"/>
      <w:szCs w:val="24"/>
      <w:lang w:val="en-GB" w:eastAsia="ja-JP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Reboe Benjamin, Monique</dc:creator>
  <cp:keywords/>
  <dc:description/>
  <cp:lastModifiedBy>Bye, Cameron</cp:lastModifiedBy>
  <cp:revision>3</cp:revision>
  <dcterms:created xsi:type="dcterms:W3CDTF">2026-03-02T20:34:00Z</dcterms:created>
  <dcterms:modified xsi:type="dcterms:W3CDTF">2026-03-10T17:41:00Z</dcterms:modified>
</cp:coreProperties>
</file>