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DE8E9C" w14:textId="4AEAF3F4" w:rsidR="005955A9" w:rsidRPr="0053312F" w:rsidRDefault="005955A9" w:rsidP="005955A9">
      <w:pPr>
        <w:spacing w:line="480" w:lineRule="auto"/>
        <w:jc w:val="center"/>
        <w:rPr>
          <w:rFonts w:ascii="Calibri" w:hAnsi="Calibri" w:cs="Calibri"/>
          <w:b/>
          <w:bCs/>
          <w:sz w:val="24"/>
          <w:szCs w:val="24"/>
          <w:lang w:val="en-US"/>
        </w:rPr>
      </w:pPr>
      <w:r w:rsidRPr="0053312F">
        <w:rPr>
          <w:rFonts w:ascii="Calibri" w:hAnsi="Calibri" w:cs="Calibri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534FDF19" wp14:editId="196A1677">
            <wp:simplePos x="0" y="0"/>
            <wp:positionH relativeFrom="margin">
              <wp:align>center</wp:align>
            </wp:positionH>
            <wp:positionV relativeFrom="paragraph">
              <wp:posOffset>612140</wp:posOffset>
            </wp:positionV>
            <wp:extent cx="3906000" cy="1386000"/>
            <wp:effectExtent l="0" t="0" r="0" b="5080"/>
            <wp:wrapTopAndBottom/>
            <wp:docPr id="2070121739" name="Imagen 10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121739" name="Imagen 10" descr="Tabla&#10;&#10;El contenido generado por IA puede ser incorrecto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000" cy="13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312F">
        <w:rPr>
          <w:rFonts w:ascii="Calibri" w:hAnsi="Calibri" w:cs="Calibri"/>
          <w:b/>
          <w:bCs/>
          <w:sz w:val="24"/>
          <w:szCs w:val="24"/>
          <w:lang w:val="en-US"/>
        </w:rPr>
        <w:t>SUPPLEMENTARY DATA</w:t>
      </w:r>
    </w:p>
    <w:p w14:paraId="3D110563" w14:textId="21F45CEA" w:rsidR="005955A9" w:rsidRDefault="005955A9" w:rsidP="005955A9">
      <w:pPr>
        <w:spacing w:line="480" w:lineRule="auto"/>
        <w:jc w:val="both"/>
        <w:rPr>
          <w:rFonts w:ascii="Calibri" w:eastAsia="Calibri" w:hAnsi="Calibri" w:cs="Calibri"/>
          <w:lang w:val="en-GB"/>
        </w:rPr>
      </w:pPr>
      <w:r w:rsidRPr="5B52E875">
        <w:rPr>
          <w:rFonts w:ascii="Calibri" w:eastAsia="Calibri" w:hAnsi="Calibri" w:cs="Calibri"/>
          <w:b/>
          <w:bCs/>
          <w:lang w:val="en-GB"/>
        </w:rPr>
        <w:t xml:space="preserve">Supplementary figure 1. Plasmid construction and luminescence measurements. </w:t>
      </w:r>
      <w:r w:rsidRPr="5B52E875">
        <w:rPr>
          <w:rFonts w:ascii="Calibri" w:eastAsia="Calibri" w:hAnsi="Calibri" w:cs="Calibri"/>
          <w:lang w:val="en-GB"/>
        </w:rPr>
        <w:t xml:space="preserve">Name of each construction and </w:t>
      </w:r>
      <w:r w:rsidRPr="5B52E875">
        <w:rPr>
          <w:rFonts w:ascii="Calibri" w:eastAsia="Calibri" w:hAnsi="Calibri" w:cs="Calibri"/>
          <w:lang w:val="en-US"/>
        </w:rPr>
        <w:t xml:space="preserve">nucleotide sequences of the linker used for each receptor </w:t>
      </w:r>
      <w:r w:rsidRPr="5B52E875">
        <w:rPr>
          <w:rFonts w:ascii="Calibri" w:eastAsia="Calibri" w:hAnsi="Calibri" w:cs="Calibri"/>
          <w:b/>
          <w:bCs/>
          <w:lang w:val="en-GB"/>
        </w:rPr>
        <w:t>(A).</w:t>
      </w:r>
      <w:r w:rsidRPr="5B52E875">
        <w:rPr>
          <w:rFonts w:ascii="Calibri" w:eastAsia="Calibri" w:hAnsi="Calibri" w:cs="Calibri"/>
          <w:lang w:val="en-GB"/>
        </w:rPr>
        <w:t xml:space="preserve"> Comparison of luminescence intensity </w:t>
      </w:r>
      <w:r w:rsidRPr="00315134">
        <w:rPr>
          <w:rFonts w:ascii="Calibri" w:eastAsia="Calibri" w:hAnsi="Calibri" w:cs="Calibri"/>
          <w:lang w:val="en-GB"/>
        </w:rPr>
        <w:t>2 min</w:t>
      </w:r>
      <w:r w:rsidRPr="5B52E875">
        <w:rPr>
          <w:rFonts w:ascii="Calibri" w:eastAsia="Calibri" w:hAnsi="Calibri" w:cs="Calibri"/>
          <w:lang w:val="en-GB"/>
        </w:rPr>
        <w:t xml:space="preserve"> after substrate addition. HEK293 cells were transiently transfected with pR_LucN1, and total luminescence was measured </w:t>
      </w:r>
      <w:r w:rsidRPr="00315134">
        <w:rPr>
          <w:rFonts w:ascii="Calibri" w:eastAsia="Calibri" w:hAnsi="Calibri" w:cs="Calibri"/>
          <w:lang w:val="en-GB"/>
        </w:rPr>
        <w:t>2 min</w:t>
      </w:r>
      <w:r w:rsidRPr="5B52E875">
        <w:rPr>
          <w:rFonts w:ascii="Calibri" w:eastAsia="Calibri" w:hAnsi="Calibri" w:cs="Calibri"/>
          <w:lang w:val="en-GB"/>
        </w:rPr>
        <w:t xml:space="preserve"> after the addition of 5 µM coelenterazine H using a </w:t>
      </w:r>
      <w:proofErr w:type="spellStart"/>
      <w:r w:rsidRPr="5B52E875">
        <w:rPr>
          <w:rFonts w:ascii="Calibri" w:eastAsia="Calibri" w:hAnsi="Calibri" w:cs="Calibri"/>
          <w:lang w:val="en-GB"/>
        </w:rPr>
        <w:t>Fluostar</w:t>
      </w:r>
      <w:proofErr w:type="spellEnd"/>
      <w:r w:rsidRPr="5B52E875">
        <w:rPr>
          <w:rFonts w:ascii="Calibri" w:eastAsia="Calibri" w:hAnsi="Calibri" w:cs="Calibri"/>
          <w:lang w:val="en-GB"/>
        </w:rPr>
        <w:t xml:space="preserve"> Omega plate reader. </w:t>
      </w:r>
      <w:r>
        <w:rPr>
          <w:rFonts w:ascii="Calibri" w:eastAsia="Calibri" w:hAnsi="Calibri" w:cs="Calibri"/>
          <w:lang w:val="en-GB"/>
        </w:rPr>
        <w:t>RLU: Relative Luminescence Units.</w:t>
      </w:r>
    </w:p>
    <w:p w14:paraId="33A67644" w14:textId="369D435E" w:rsidR="005955A9" w:rsidRDefault="005955A9" w:rsidP="005955A9">
      <w:pPr>
        <w:spacing w:line="480" w:lineRule="auto"/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noProof/>
          <w:lang w:val="en-GB"/>
        </w:rPr>
        <w:drawing>
          <wp:anchor distT="0" distB="0" distL="114300" distR="114300" simplePos="0" relativeHeight="251660288" behindDoc="0" locked="0" layoutInCell="1" allowOverlap="1" wp14:anchorId="2996591B" wp14:editId="5439A433">
            <wp:simplePos x="0" y="0"/>
            <wp:positionH relativeFrom="margin">
              <wp:align>center</wp:align>
            </wp:positionH>
            <wp:positionV relativeFrom="paragraph">
              <wp:posOffset>350508</wp:posOffset>
            </wp:positionV>
            <wp:extent cx="3268800" cy="3427200"/>
            <wp:effectExtent l="0" t="0" r="8255" b="1905"/>
            <wp:wrapTopAndBottom/>
            <wp:docPr id="667319529" name="Imagen 1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319529" name="Imagen 11" descr="Tabla&#10;&#10;El contenido generado por IA puede ser incorrecto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8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AE5EE" w14:textId="77777777" w:rsidR="005955A9" w:rsidRDefault="005955A9" w:rsidP="005955A9">
      <w:pPr>
        <w:rPr>
          <w:rFonts w:ascii="Calibri" w:eastAsia="Calibri" w:hAnsi="Calibri" w:cs="Calibri"/>
          <w:lang w:val="en-GB"/>
        </w:rPr>
      </w:pPr>
    </w:p>
    <w:p w14:paraId="32C694E3" w14:textId="1B679564" w:rsidR="005955A9" w:rsidRDefault="005955A9" w:rsidP="005955A9">
      <w:pPr>
        <w:rPr>
          <w:rFonts w:ascii="Calibri" w:eastAsia="Calibri" w:hAnsi="Calibri" w:cs="Calibri"/>
          <w:lang w:val="en-GB"/>
        </w:rPr>
      </w:pPr>
      <w:r w:rsidRPr="5B52E875">
        <w:rPr>
          <w:rFonts w:ascii="Calibri" w:eastAsia="Calibri" w:hAnsi="Calibri" w:cs="Calibri"/>
          <w:b/>
          <w:bCs/>
          <w:lang w:val="en-GB"/>
        </w:rPr>
        <w:t xml:space="preserve">Supplementary figure 2. Primer sequences. </w:t>
      </w:r>
      <w:r w:rsidRPr="5B52E875">
        <w:rPr>
          <w:rFonts w:ascii="Calibri" w:eastAsia="Calibri" w:hAnsi="Calibri" w:cs="Calibri"/>
          <w:lang w:val="en-GB"/>
        </w:rPr>
        <w:t xml:space="preserve">Table showing the sequences of primers used for each gene analysed by qPCR. NM gene reference is also shown. </w:t>
      </w:r>
    </w:p>
    <w:p w14:paraId="074A91AC" w14:textId="26074460" w:rsidR="005955A9" w:rsidRDefault="005955A9" w:rsidP="005955A9">
      <w:pPr>
        <w:spacing w:line="480" w:lineRule="auto"/>
        <w:jc w:val="both"/>
        <w:rPr>
          <w:rFonts w:ascii="Calibri" w:eastAsia="Calibri" w:hAnsi="Calibri" w:cs="Calibri"/>
          <w:lang w:val="en-GB"/>
        </w:rPr>
      </w:pPr>
    </w:p>
    <w:p w14:paraId="0F8F96A1" w14:textId="77777777" w:rsidR="005955A9" w:rsidRDefault="005955A9" w:rsidP="005955A9">
      <w:pPr>
        <w:spacing w:line="480" w:lineRule="auto"/>
        <w:jc w:val="both"/>
        <w:rPr>
          <w:rFonts w:ascii="Calibri" w:eastAsia="Calibri" w:hAnsi="Calibri" w:cs="Calibri"/>
          <w:b/>
          <w:bCs/>
          <w:lang w:val="en-GB"/>
        </w:rPr>
      </w:pPr>
    </w:p>
    <w:p w14:paraId="4ACD28A2" w14:textId="43F3632F" w:rsidR="005955A9" w:rsidRDefault="005955A9" w:rsidP="005955A9">
      <w:pPr>
        <w:spacing w:line="480" w:lineRule="auto"/>
        <w:jc w:val="both"/>
        <w:rPr>
          <w:rFonts w:ascii="Calibri" w:eastAsia="Calibri" w:hAnsi="Calibri" w:cs="Calibri"/>
          <w:b/>
          <w:bCs/>
          <w:lang w:val="en-GB"/>
        </w:rPr>
      </w:pPr>
      <w:r>
        <w:rPr>
          <w:rFonts w:ascii="Calibri" w:eastAsia="Calibri" w:hAnsi="Calibri" w:cs="Calibri"/>
          <w:noProof/>
          <w:lang w:val="en-GB"/>
        </w:rPr>
        <w:lastRenderedPageBreak/>
        <w:drawing>
          <wp:anchor distT="0" distB="0" distL="114300" distR="114300" simplePos="0" relativeHeight="251661312" behindDoc="0" locked="0" layoutInCell="1" allowOverlap="1" wp14:anchorId="7DA37F85" wp14:editId="3C7D90F0">
            <wp:simplePos x="0" y="0"/>
            <wp:positionH relativeFrom="margin">
              <wp:align>center</wp:align>
            </wp:positionH>
            <wp:positionV relativeFrom="paragraph">
              <wp:posOffset>147320</wp:posOffset>
            </wp:positionV>
            <wp:extent cx="4766400" cy="3376800"/>
            <wp:effectExtent l="0" t="0" r="0" b="0"/>
            <wp:wrapTopAndBottom/>
            <wp:docPr id="1917931918" name="Imagen 12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931918" name="Imagen 12" descr="Diagrama&#10;&#10;El contenido generado por IA puede ser incorrec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400" cy="33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3BE64" w14:textId="7B8D8EF7" w:rsidR="005955A9" w:rsidRDefault="005955A9" w:rsidP="005955A9">
      <w:pPr>
        <w:spacing w:line="480" w:lineRule="auto"/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noProof/>
          <w:lang w:val="en-GB"/>
        </w:rPr>
        <w:drawing>
          <wp:anchor distT="0" distB="0" distL="114300" distR="114300" simplePos="0" relativeHeight="251662336" behindDoc="0" locked="0" layoutInCell="1" allowOverlap="1" wp14:anchorId="73CC55A6" wp14:editId="3B5F7537">
            <wp:simplePos x="0" y="0"/>
            <wp:positionH relativeFrom="margin">
              <wp:align>center</wp:align>
            </wp:positionH>
            <wp:positionV relativeFrom="paragraph">
              <wp:posOffset>1522730</wp:posOffset>
            </wp:positionV>
            <wp:extent cx="4791600" cy="2689200"/>
            <wp:effectExtent l="0" t="0" r="0" b="0"/>
            <wp:wrapTopAndBottom/>
            <wp:docPr id="2011055987" name="Imagen 13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055987" name="Imagen 13" descr="Tabla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600" cy="26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5B52E875">
        <w:rPr>
          <w:rFonts w:ascii="Calibri" w:eastAsia="Calibri" w:hAnsi="Calibri" w:cs="Calibri"/>
          <w:b/>
          <w:bCs/>
          <w:lang w:val="en-GB"/>
        </w:rPr>
        <w:t xml:space="preserve">Supplementary figure 3. Phosphorylation of intracellular kinases after VIP treatment. </w:t>
      </w:r>
      <w:r w:rsidRPr="5B52E875">
        <w:rPr>
          <w:rFonts w:ascii="Calibri" w:eastAsia="Calibri" w:hAnsi="Calibri" w:cs="Calibri"/>
          <w:lang w:val="en-GB"/>
        </w:rPr>
        <w:t xml:space="preserve">Immunoblot analysis of phosphorylated CREB, ERK1/2, </w:t>
      </w:r>
      <w:proofErr w:type="spellStart"/>
      <w:r w:rsidRPr="5B52E875">
        <w:rPr>
          <w:rFonts w:ascii="Calibri" w:eastAsia="Calibri" w:hAnsi="Calibri" w:cs="Calibri"/>
          <w:lang w:val="en-GB"/>
        </w:rPr>
        <w:t>L</w:t>
      </w:r>
      <w:r>
        <w:rPr>
          <w:rFonts w:ascii="Calibri" w:eastAsia="Calibri" w:hAnsi="Calibri" w:cs="Calibri"/>
          <w:lang w:val="en-GB"/>
        </w:rPr>
        <w:t>ck</w:t>
      </w:r>
      <w:proofErr w:type="spellEnd"/>
      <w:r w:rsidRPr="5B52E875">
        <w:rPr>
          <w:rFonts w:ascii="Calibri" w:eastAsia="Calibri" w:hAnsi="Calibri" w:cs="Calibri"/>
          <w:lang w:val="en-GB"/>
        </w:rPr>
        <w:t xml:space="preserve">, p38α, PLCγ1 and PRAS40 in </w:t>
      </w:r>
      <w:proofErr w:type="spellStart"/>
      <w:r w:rsidRPr="5B52E875">
        <w:rPr>
          <w:rFonts w:ascii="Calibri" w:eastAsia="Calibri" w:hAnsi="Calibri" w:cs="Calibri"/>
          <w:lang w:val="en-GB"/>
        </w:rPr>
        <w:t>Jurkat</w:t>
      </w:r>
      <w:proofErr w:type="spellEnd"/>
      <w:r w:rsidRPr="5B52E875">
        <w:rPr>
          <w:rFonts w:ascii="Calibri" w:eastAsia="Calibri" w:hAnsi="Calibri" w:cs="Calibri"/>
          <w:lang w:val="en-GB"/>
        </w:rPr>
        <w:t xml:space="preserve"> cell lysates after 1, 5, 15, 40 and 120 minutes of treatment with 10</w:t>
      </w:r>
      <w:r w:rsidRPr="5B52E875">
        <w:rPr>
          <w:rFonts w:ascii="Calibri" w:eastAsia="Calibri" w:hAnsi="Calibri" w:cs="Calibri"/>
          <w:vertAlign w:val="superscript"/>
          <w:lang w:val="en-GB"/>
        </w:rPr>
        <w:t>-8</w:t>
      </w:r>
      <w:r w:rsidRPr="5B52E875">
        <w:rPr>
          <w:rFonts w:ascii="Calibri" w:eastAsia="Calibri" w:hAnsi="Calibri" w:cs="Calibri"/>
          <w:lang w:val="en-GB"/>
        </w:rPr>
        <w:t xml:space="preserve"> M VIP. Non-phosphorylated proteins and GAPDH were used as loading controls. Graphs show the ratio of phosphorylated to non-phosphorylated protein.</w:t>
      </w:r>
    </w:p>
    <w:p w14:paraId="42FB79FC" w14:textId="77777777" w:rsidR="005955A9" w:rsidRDefault="005955A9" w:rsidP="005955A9">
      <w:pPr>
        <w:spacing w:line="480" w:lineRule="auto"/>
        <w:jc w:val="both"/>
        <w:rPr>
          <w:rFonts w:ascii="Aptos" w:eastAsia="Aptos" w:hAnsi="Aptos" w:cs="Aptos"/>
          <w:lang w:val="en-US"/>
        </w:rPr>
      </w:pPr>
      <w:r w:rsidRPr="5B52E875">
        <w:rPr>
          <w:rFonts w:ascii="Calibri" w:eastAsia="Calibri" w:hAnsi="Calibri" w:cs="Calibri"/>
          <w:b/>
          <w:bCs/>
          <w:lang w:val="en-GB"/>
        </w:rPr>
        <w:t xml:space="preserve">Supplementary figure 4. Western Blot antibodies. </w:t>
      </w:r>
      <w:r w:rsidRPr="5B52E875">
        <w:rPr>
          <w:rFonts w:ascii="Calibri" w:eastAsia="Calibri" w:hAnsi="Calibri" w:cs="Calibri"/>
          <w:lang w:val="en-GB"/>
        </w:rPr>
        <w:t xml:space="preserve">Table listing all antibodies used for western blot analyses. The percentage of acrylamide used for each </w:t>
      </w:r>
      <w:r>
        <w:rPr>
          <w:rFonts w:ascii="Calibri" w:eastAsia="Calibri" w:hAnsi="Calibri" w:cs="Calibri"/>
          <w:lang w:val="en-GB"/>
        </w:rPr>
        <w:t>protein detection</w:t>
      </w:r>
      <w:r w:rsidRPr="5B52E875">
        <w:rPr>
          <w:rFonts w:ascii="Calibri" w:eastAsia="Calibri" w:hAnsi="Calibri" w:cs="Calibri"/>
          <w:lang w:val="en-GB"/>
        </w:rPr>
        <w:t xml:space="preserve"> and the amount of protein loaded, as well as the antibody dilutions are shown.</w:t>
      </w:r>
      <w:r w:rsidRPr="000263A3">
        <w:rPr>
          <w:rFonts w:ascii="Calibri" w:eastAsia="Calibri" w:hAnsi="Calibri" w:cs="Calibri"/>
          <w:lang w:val="en-US"/>
        </w:rPr>
        <w:t xml:space="preserve">  </w:t>
      </w:r>
      <w:r w:rsidRPr="000263A3">
        <w:rPr>
          <w:rFonts w:ascii="Aptos" w:eastAsia="Aptos" w:hAnsi="Aptos" w:cs="Aptos"/>
          <w:lang w:val="en-US"/>
        </w:rPr>
        <w:t xml:space="preserve"> </w:t>
      </w:r>
    </w:p>
    <w:p w14:paraId="44839F93" w14:textId="5A043E5B" w:rsidR="005955A9" w:rsidRPr="00080AA8" w:rsidRDefault="005955A9" w:rsidP="005955A9">
      <w:pPr>
        <w:spacing w:line="480" w:lineRule="auto"/>
        <w:jc w:val="both"/>
        <w:rPr>
          <w:rFonts w:ascii="Aptos" w:eastAsia="Aptos" w:hAnsi="Aptos" w:cs="Aptos"/>
          <w:lang w:val="en-US"/>
        </w:rPr>
      </w:pPr>
      <w:r>
        <w:rPr>
          <w:rFonts w:ascii="Aptos" w:eastAsia="Aptos" w:hAnsi="Aptos" w:cs="Aptos"/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49637DC3" wp14:editId="0464E27E">
            <wp:simplePos x="0" y="0"/>
            <wp:positionH relativeFrom="margin">
              <wp:align>center</wp:align>
            </wp:positionH>
            <wp:positionV relativeFrom="paragraph">
              <wp:posOffset>133350</wp:posOffset>
            </wp:positionV>
            <wp:extent cx="4570567" cy="2998800"/>
            <wp:effectExtent l="0" t="0" r="1905" b="0"/>
            <wp:wrapTopAndBottom/>
            <wp:docPr id="2033933110" name="Imagen 14" descr="Gráfico, Gráfico de barras, Gráfico en cascad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933110" name="Imagen 14" descr="Gráfico, Gráfico de barras, Gráfico en cascada&#10;&#10;El contenido generado por IA puede ser incorrec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567" cy="29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B605D" w14:textId="77777777" w:rsidR="005955A9" w:rsidRDefault="005955A9" w:rsidP="005955A9">
      <w:pPr>
        <w:spacing w:line="480" w:lineRule="auto"/>
        <w:jc w:val="both"/>
        <w:rPr>
          <w:rFonts w:ascii="Calibri" w:eastAsia="Calibri" w:hAnsi="Calibri" w:cs="Calibri"/>
          <w:lang w:val="en-GB"/>
        </w:rPr>
      </w:pPr>
      <w:r w:rsidRPr="5B52E875">
        <w:rPr>
          <w:rFonts w:ascii="Calibri" w:eastAsia="Calibri" w:hAnsi="Calibri" w:cs="Calibri"/>
          <w:b/>
          <w:bCs/>
          <w:lang w:val="en-GB"/>
        </w:rPr>
        <w:t xml:space="preserve">Supplementary figure 5.  Transcription factors and cytokines pattern in </w:t>
      </w:r>
      <w:proofErr w:type="spellStart"/>
      <w:r w:rsidRPr="5B52E875">
        <w:rPr>
          <w:rFonts w:ascii="Calibri" w:eastAsia="Calibri" w:hAnsi="Calibri" w:cs="Calibri"/>
          <w:b/>
          <w:bCs/>
          <w:lang w:val="en-GB"/>
        </w:rPr>
        <w:t>Jurkat</w:t>
      </w:r>
      <w:proofErr w:type="spellEnd"/>
      <w:r w:rsidRPr="5B52E875">
        <w:rPr>
          <w:rFonts w:ascii="Calibri" w:eastAsia="Calibri" w:hAnsi="Calibri" w:cs="Calibri"/>
          <w:b/>
          <w:bCs/>
          <w:lang w:val="en-GB"/>
        </w:rPr>
        <w:t xml:space="preserve"> cells. </w:t>
      </w:r>
      <w:r w:rsidRPr="5B52E875">
        <w:rPr>
          <w:rFonts w:ascii="Calibri" w:eastAsia="Calibri" w:hAnsi="Calibri" w:cs="Calibri"/>
          <w:lang w:val="en-GB"/>
        </w:rPr>
        <w:t xml:space="preserve">mRNA expression of </w:t>
      </w:r>
      <w:r w:rsidRPr="5B52E875">
        <w:rPr>
          <w:rFonts w:ascii="Calibri" w:eastAsia="Calibri" w:hAnsi="Calibri" w:cs="Calibri"/>
          <w:i/>
          <w:iCs/>
          <w:lang w:val="en-GB"/>
        </w:rPr>
        <w:t>T</w:t>
      </w:r>
      <w:r>
        <w:rPr>
          <w:rFonts w:ascii="Calibri" w:eastAsia="Calibri" w:hAnsi="Calibri" w:cs="Calibri"/>
          <w:i/>
          <w:iCs/>
          <w:lang w:val="en-GB"/>
        </w:rPr>
        <w:t>BX</w:t>
      </w:r>
      <w:r w:rsidRPr="5B52E875">
        <w:rPr>
          <w:rFonts w:ascii="Calibri" w:eastAsia="Calibri" w:hAnsi="Calibri" w:cs="Calibri"/>
          <w:i/>
          <w:iCs/>
          <w:lang w:val="en-GB"/>
        </w:rPr>
        <w:t>21, RORC and GATA3</w:t>
      </w:r>
      <w:r w:rsidRPr="5B52E875">
        <w:rPr>
          <w:rFonts w:ascii="Calibri" w:eastAsia="Calibri" w:hAnsi="Calibri" w:cs="Calibri"/>
          <w:lang w:val="en-GB"/>
        </w:rPr>
        <w:t xml:space="preserve"> transcription factors and</w:t>
      </w:r>
      <w:r w:rsidRPr="5B52E875">
        <w:rPr>
          <w:rFonts w:ascii="Calibri" w:eastAsia="Calibri" w:hAnsi="Calibri" w:cs="Calibri"/>
          <w:i/>
          <w:iCs/>
          <w:lang w:val="en-GB"/>
        </w:rPr>
        <w:t xml:space="preserve"> TNF, IFNG, IL10, IL4</w:t>
      </w:r>
      <w:r w:rsidRPr="5B52E875">
        <w:rPr>
          <w:rFonts w:ascii="Calibri" w:eastAsia="Calibri" w:hAnsi="Calibri" w:cs="Calibri"/>
          <w:lang w:val="en-GB"/>
        </w:rPr>
        <w:t xml:space="preserve"> and </w:t>
      </w:r>
      <w:r w:rsidRPr="5B52E875">
        <w:rPr>
          <w:rFonts w:ascii="Calibri" w:eastAsia="Calibri" w:hAnsi="Calibri" w:cs="Calibri"/>
          <w:i/>
          <w:iCs/>
          <w:lang w:val="en-GB"/>
        </w:rPr>
        <w:t>IL2</w:t>
      </w:r>
      <w:r w:rsidRPr="5B52E875">
        <w:rPr>
          <w:rFonts w:ascii="Calibri" w:eastAsia="Calibri" w:hAnsi="Calibri" w:cs="Calibri"/>
          <w:lang w:val="en-GB"/>
        </w:rPr>
        <w:t xml:space="preserve"> cytokines was determined by semiquantitative real-time PCR analysis in </w:t>
      </w:r>
      <w:proofErr w:type="spellStart"/>
      <w:r w:rsidRPr="5B52E875">
        <w:rPr>
          <w:rFonts w:ascii="Calibri" w:eastAsia="Calibri" w:hAnsi="Calibri" w:cs="Calibri"/>
          <w:lang w:val="en-GB"/>
        </w:rPr>
        <w:t>Jurkat</w:t>
      </w:r>
      <w:proofErr w:type="spellEnd"/>
      <w:r w:rsidRPr="5B52E875">
        <w:rPr>
          <w:rFonts w:ascii="Calibri" w:eastAsia="Calibri" w:hAnsi="Calibri" w:cs="Calibri"/>
          <w:lang w:val="en-GB"/>
        </w:rPr>
        <w:t>, J-OEV1 and J-OEV2 cells. Results are expressed as relative mRNA levels (normalized to SDHA mRNA levels, 2</w:t>
      </w:r>
      <w:r w:rsidRPr="5B52E875">
        <w:rPr>
          <w:rFonts w:ascii="Calibri" w:eastAsia="Calibri" w:hAnsi="Calibri" w:cs="Calibri"/>
          <w:vertAlign w:val="superscript"/>
          <w:lang w:val="en-GB"/>
        </w:rPr>
        <w:t>−ΔCt</w:t>
      </w:r>
      <w:r w:rsidRPr="5B52E875">
        <w:rPr>
          <w:rFonts w:ascii="Calibri" w:eastAsia="Calibri" w:hAnsi="Calibri" w:cs="Calibri"/>
          <w:lang w:val="en-GB"/>
        </w:rPr>
        <w:t>). The mean ± SEM of triplicate determination from five independent experiments are shown. Results are expressed as relative mRNA levels (normalized to SDHA mRNA levels, 2</w:t>
      </w:r>
      <w:r w:rsidRPr="5B52E875">
        <w:rPr>
          <w:rFonts w:ascii="Calibri" w:eastAsia="Calibri" w:hAnsi="Calibri" w:cs="Calibri"/>
          <w:vertAlign w:val="superscript"/>
          <w:lang w:val="en-GB"/>
        </w:rPr>
        <w:t>−ΔCt</w:t>
      </w:r>
      <w:r w:rsidRPr="5B52E875">
        <w:rPr>
          <w:rFonts w:ascii="Calibri" w:eastAsia="Calibri" w:hAnsi="Calibri" w:cs="Calibri"/>
          <w:lang w:val="en-GB"/>
        </w:rPr>
        <w:t xml:space="preserve">) in </w:t>
      </w:r>
      <w:proofErr w:type="spellStart"/>
      <w:r w:rsidRPr="5B52E875">
        <w:rPr>
          <w:rFonts w:ascii="Calibri" w:eastAsia="Calibri" w:hAnsi="Calibri" w:cs="Calibri"/>
          <w:lang w:val="en-GB"/>
        </w:rPr>
        <w:t>Jurkat</w:t>
      </w:r>
      <w:proofErr w:type="spellEnd"/>
      <w:r w:rsidRPr="5B52E875">
        <w:rPr>
          <w:rFonts w:ascii="Calibri" w:eastAsia="Calibri" w:hAnsi="Calibri" w:cs="Calibri"/>
          <w:lang w:val="en-GB"/>
        </w:rPr>
        <w:t xml:space="preserve"> cells.</w:t>
      </w:r>
    </w:p>
    <w:p w14:paraId="072C9339" w14:textId="77777777" w:rsidR="005955A9" w:rsidRPr="00A67FF4" w:rsidRDefault="005955A9" w:rsidP="005955A9">
      <w:pPr>
        <w:spacing w:line="480" w:lineRule="auto"/>
        <w:jc w:val="both"/>
        <w:rPr>
          <w:lang w:val="en-US"/>
        </w:rPr>
      </w:pPr>
      <w:r>
        <w:rPr>
          <w:rFonts w:ascii="Calibri" w:eastAsia="Calibri" w:hAnsi="Calibri" w:cs="Calibri"/>
          <w:noProof/>
          <w:lang w:val="en-GB"/>
        </w:rPr>
        <w:lastRenderedPageBreak/>
        <w:drawing>
          <wp:anchor distT="0" distB="0" distL="114300" distR="114300" simplePos="0" relativeHeight="251663360" behindDoc="0" locked="0" layoutInCell="1" allowOverlap="1" wp14:anchorId="0E5935A7" wp14:editId="6C28753A">
            <wp:simplePos x="0" y="0"/>
            <wp:positionH relativeFrom="margin">
              <wp:align>center</wp:align>
            </wp:positionH>
            <wp:positionV relativeFrom="paragraph">
              <wp:posOffset>39370</wp:posOffset>
            </wp:positionV>
            <wp:extent cx="5212800" cy="3704400"/>
            <wp:effectExtent l="0" t="0" r="6985" b="0"/>
            <wp:wrapTopAndBottom/>
            <wp:docPr id="1163033547" name="Imagen 15" descr="Imagen de la pantalla de un celular con letr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033547" name="Imagen 15" descr="Imagen de la pantalla de un celular con letras&#10;&#10;El contenido generado por IA puede ser incorrec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800" cy="37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8B777" w14:textId="77777777" w:rsidR="005955A9" w:rsidRPr="00A67FF4" w:rsidRDefault="005955A9" w:rsidP="005955A9">
      <w:pPr>
        <w:spacing w:line="480" w:lineRule="auto"/>
        <w:jc w:val="both"/>
        <w:rPr>
          <w:lang w:val="en-US"/>
        </w:rPr>
      </w:pPr>
      <w:r w:rsidRPr="5B52E875">
        <w:rPr>
          <w:rFonts w:ascii="Calibri" w:eastAsia="Calibri" w:hAnsi="Calibri" w:cs="Calibri"/>
          <w:b/>
          <w:bCs/>
          <w:lang w:val="en-GB"/>
        </w:rPr>
        <w:t xml:space="preserve">Supplementary figure 6. Transcription factors and cytokines pattern in transfected </w:t>
      </w:r>
      <w:proofErr w:type="spellStart"/>
      <w:r w:rsidRPr="5B52E875">
        <w:rPr>
          <w:rFonts w:ascii="Calibri" w:eastAsia="Calibri" w:hAnsi="Calibri" w:cs="Calibri"/>
          <w:b/>
          <w:bCs/>
          <w:lang w:val="en-GB"/>
        </w:rPr>
        <w:t>Jurkat</w:t>
      </w:r>
      <w:proofErr w:type="spellEnd"/>
      <w:r w:rsidRPr="5B52E875">
        <w:rPr>
          <w:rFonts w:ascii="Calibri" w:eastAsia="Calibri" w:hAnsi="Calibri" w:cs="Calibri"/>
          <w:b/>
          <w:bCs/>
          <w:lang w:val="en-GB"/>
        </w:rPr>
        <w:t xml:space="preserve"> cells. </w:t>
      </w:r>
      <w:r w:rsidRPr="5B52E875">
        <w:rPr>
          <w:rFonts w:ascii="Calibri" w:eastAsia="Calibri" w:hAnsi="Calibri" w:cs="Calibri"/>
          <w:lang w:val="en-GB"/>
        </w:rPr>
        <w:t xml:space="preserve">mRNA expression of the transcription factors </w:t>
      </w:r>
      <w:r w:rsidRPr="5B52E875">
        <w:rPr>
          <w:rFonts w:ascii="Calibri" w:eastAsia="Calibri" w:hAnsi="Calibri" w:cs="Calibri"/>
          <w:i/>
          <w:iCs/>
          <w:lang w:val="en-GB"/>
        </w:rPr>
        <w:t>T</w:t>
      </w:r>
      <w:r>
        <w:rPr>
          <w:rFonts w:ascii="Calibri" w:eastAsia="Calibri" w:hAnsi="Calibri" w:cs="Calibri"/>
          <w:i/>
          <w:iCs/>
          <w:lang w:val="en-GB"/>
        </w:rPr>
        <w:t>BX</w:t>
      </w:r>
      <w:r w:rsidRPr="5B52E875">
        <w:rPr>
          <w:rFonts w:ascii="Calibri" w:eastAsia="Calibri" w:hAnsi="Calibri" w:cs="Calibri"/>
          <w:i/>
          <w:iCs/>
          <w:lang w:val="en-GB"/>
        </w:rPr>
        <w:t>21, RORC and GATA3</w:t>
      </w:r>
      <w:r w:rsidRPr="5B52E875">
        <w:rPr>
          <w:rFonts w:ascii="Calibri" w:eastAsia="Calibri" w:hAnsi="Calibri" w:cs="Calibri"/>
          <w:lang w:val="en-GB"/>
        </w:rPr>
        <w:t>, as well as the cytokines</w:t>
      </w:r>
      <w:r w:rsidRPr="5B52E875">
        <w:rPr>
          <w:rFonts w:ascii="Calibri" w:eastAsia="Calibri" w:hAnsi="Calibri" w:cs="Calibri"/>
          <w:i/>
          <w:iCs/>
          <w:lang w:val="en-GB"/>
        </w:rPr>
        <w:t xml:space="preserve"> TNF, IFNG, IL10, TNF, IFNG, IL10, IL4</w:t>
      </w:r>
      <w:r w:rsidRPr="5B52E875">
        <w:rPr>
          <w:rFonts w:ascii="Calibri" w:eastAsia="Calibri" w:hAnsi="Calibri" w:cs="Calibri"/>
          <w:lang w:val="en-GB"/>
        </w:rPr>
        <w:t xml:space="preserve"> and </w:t>
      </w:r>
      <w:r w:rsidRPr="5B52E875">
        <w:rPr>
          <w:rFonts w:ascii="Calibri" w:eastAsia="Calibri" w:hAnsi="Calibri" w:cs="Calibri"/>
          <w:i/>
          <w:iCs/>
          <w:lang w:val="en-GB"/>
        </w:rPr>
        <w:t>IL2</w:t>
      </w:r>
      <w:r w:rsidRPr="5B52E875">
        <w:rPr>
          <w:rFonts w:ascii="Calibri" w:eastAsia="Calibri" w:hAnsi="Calibri" w:cs="Calibri"/>
          <w:lang w:val="en-GB"/>
        </w:rPr>
        <w:t xml:space="preserve"> was determined by semiquantitative real-time PCR analysis in </w:t>
      </w:r>
      <w:proofErr w:type="spellStart"/>
      <w:r w:rsidRPr="5B52E875">
        <w:rPr>
          <w:rFonts w:ascii="Calibri" w:eastAsia="Calibri" w:hAnsi="Calibri" w:cs="Calibri"/>
          <w:lang w:val="en-GB"/>
        </w:rPr>
        <w:t>Jurkat</w:t>
      </w:r>
      <w:proofErr w:type="spellEnd"/>
      <w:r w:rsidRPr="5B52E875">
        <w:rPr>
          <w:rFonts w:ascii="Calibri" w:eastAsia="Calibri" w:hAnsi="Calibri" w:cs="Calibri"/>
          <w:lang w:val="en-GB"/>
        </w:rPr>
        <w:t xml:space="preserve"> and empty vector-transfected </w:t>
      </w:r>
      <w:proofErr w:type="spellStart"/>
      <w:r w:rsidRPr="5B52E875">
        <w:rPr>
          <w:rFonts w:ascii="Calibri" w:eastAsia="Calibri" w:hAnsi="Calibri" w:cs="Calibri"/>
          <w:lang w:val="en-GB"/>
        </w:rPr>
        <w:t>Jurkat</w:t>
      </w:r>
      <w:proofErr w:type="spellEnd"/>
      <w:r w:rsidRPr="5B52E875">
        <w:rPr>
          <w:rFonts w:ascii="Calibri" w:eastAsia="Calibri" w:hAnsi="Calibri" w:cs="Calibri"/>
          <w:lang w:val="en-GB"/>
        </w:rPr>
        <w:t xml:space="preserve"> cells. Results are expressed as relative mRNA levels normalized to SDHA mRNA levels (2</w:t>
      </w:r>
      <w:r w:rsidRPr="5B52E875">
        <w:rPr>
          <w:rFonts w:ascii="Calibri" w:eastAsia="Calibri" w:hAnsi="Calibri" w:cs="Calibri"/>
          <w:vertAlign w:val="superscript"/>
          <w:lang w:val="en-GB"/>
        </w:rPr>
        <w:t>−ΔCt</w:t>
      </w:r>
      <w:r w:rsidRPr="5B52E875">
        <w:rPr>
          <w:rFonts w:ascii="Calibri" w:eastAsia="Calibri" w:hAnsi="Calibri" w:cs="Calibri"/>
          <w:lang w:val="en-GB"/>
        </w:rPr>
        <w:t>). Data represent the mean ± SEM of triplicate determinations from one representative experiment.</w:t>
      </w:r>
    </w:p>
    <w:p w14:paraId="53432E31" w14:textId="77777777" w:rsidR="005955A9" w:rsidRPr="007D089B" w:rsidRDefault="005955A9" w:rsidP="005955A9">
      <w:pPr>
        <w:spacing w:line="480" w:lineRule="auto"/>
        <w:jc w:val="both"/>
        <w:rPr>
          <w:rFonts w:ascii="Calibri" w:hAnsi="Calibri" w:cs="Calibri"/>
          <w:color w:val="EE0000"/>
          <w:lang w:val="en-GB"/>
        </w:rPr>
      </w:pPr>
    </w:p>
    <w:p w14:paraId="090AA8C2" w14:textId="77777777" w:rsidR="009408B8" w:rsidRPr="005955A9" w:rsidRDefault="009408B8">
      <w:pPr>
        <w:rPr>
          <w:lang w:val="en-GB"/>
        </w:rPr>
      </w:pPr>
    </w:p>
    <w:sectPr w:rsidR="009408B8" w:rsidRPr="005955A9" w:rsidSect="005955A9">
      <w:footerReference w:type="default" r:id="rId10"/>
      <w:pgSz w:w="11906" w:h="16838"/>
      <w:pgMar w:top="1134" w:right="1134" w:bottom="1134" w:left="1134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25489564"/>
      <w:docPartObj>
        <w:docPartGallery w:val="Page Numbers (Bottom of Page)"/>
        <w:docPartUnique/>
      </w:docPartObj>
    </w:sdtPr>
    <w:sdtContent>
      <w:p w14:paraId="3AF65E7A" w14:textId="77777777" w:rsidR="005955A9" w:rsidRDefault="005955A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8935174" w14:textId="77777777" w:rsidR="005955A9" w:rsidRDefault="005955A9">
    <w:pPr>
      <w:pStyle w:val="Piedepgina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5A9"/>
    <w:rsid w:val="00102647"/>
    <w:rsid w:val="004E0320"/>
    <w:rsid w:val="005955A9"/>
    <w:rsid w:val="007F5896"/>
    <w:rsid w:val="009408B8"/>
    <w:rsid w:val="00BC6A8F"/>
    <w:rsid w:val="00F01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41319"/>
  <w15:chartTrackingRefBased/>
  <w15:docId w15:val="{86AA590C-D2E5-40C2-97C2-E552EC5B0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55A9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955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955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955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955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lang w:val="en-GB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955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lang w:val="en-GB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955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lang w:val="en-GB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955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lang w:val="en-GB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955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lang w:val="en-GB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955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955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955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955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955A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955A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955A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955A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955A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955A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955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TtuloCar">
    <w:name w:val="Título Car"/>
    <w:basedOn w:val="Fuentedeprrafopredeter"/>
    <w:link w:val="Ttulo"/>
    <w:uiPriority w:val="10"/>
    <w:rsid w:val="005955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955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character" w:customStyle="1" w:styleId="SubttuloCar">
    <w:name w:val="Subtítulo Car"/>
    <w:basedOn w:val="Fuentedeprrafopredeter"/>
    <w:link w:val="Subttulo"/>
    <w:uiPriority w:val="11"/>
    <w:rsid w:val="005955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955A9"/>
    <w:pPr>
      <w:spacing w:before="160"/>
      <w:jc w:val="center"/>
    </w:pPr>
    <w:rPr>
      <w:i/>
      <w:iCs/>
      <w:color w:val="404040" w:themeColor="text1" w:themeTint="BF"/>
      <w:lang w:val="en-GB"/>
    </w:rPr>
  </w:style>
  <w:style w:type="character" w:customStyle="1" w:styleId="CitaCar">
    <w:name w:val="Cita Car"/>
    <w:basedOn w:val="Fuentedeprrafopredeter"/>
    <w:link w:val="Cita"/>
    <w:uiPriority w:val="29"/>
    <w:rsid w:val="005955A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955A9"/>
    <w:pPr>
      <w:ind w:left="720"/>
      <w:contextualSpacing/>
    </w:pPr>
    <w:rPr>
      <w:lang w:val="en-GB"/>
    </w:rPr>
  </w:style>
  <w:style w:type="character" w:styleId="nfasisintenso">
    <w:name w:val="Intense Emphasis"/>
    <w:basedOn w:val="Fuentedeprrafopredeter"/>
    <w:uiPriority w:val="21"/>
    <w:qFormat/>
    <w:rsid w:val="005955A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955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lang w:val="en-GB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955A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955A9"/>
    <w:rPr>
      <w:b/>
      <w:bCs/>
      <w:smallCaps/>
      <w:color w:val="0F4761" w:themeColor="accent1" w:themeShade="BF"/>
      <w:spacing w:val="5"/>
    </w:rPr>
  </w:style>
  <w:style w:type="paragraph" w:styleId="Piedepgina">
    <w:name w:val="footer"/>
    <w:basedOn w:val="Normal"/>
    <w:link w:val="PiedepginaCar1"/>
    <w:uiPriority w:val="99"/>
    <w:unhideWhenUsed/>
    <w:rsid w:val="005955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uiPriority w:val="99"/>
    <w:semiHidden/>
    <w:rsid w:val="005955A9"/>
    <w:rPr>
      <w:lang w:val="es-ES"/>
    </w:rPr>
  </w:style>
  <w:style w:type="character" w:customStyle="1" w:styleId="PiedepginaCar1">
    <w:name w:val="Pie de página Car1"/>
    <w:basedOn w:val="Fuentedeprrafopredeter"/>
    <w:link w:val="Piedepgina"/>
    <w:uiPriority w:val="99"/>
    <w:rsid w:val="005955A9"/>
    <w:rPr>
      <w:lang w:val="es-ES"/>
    </w:rPr>
  </w:style>
  <w:style w:type="character" w:styleId="Nmerodelnea">
    <w:name w:val="line number"/>
    <w:basedOn w:val="Fuentedeprrafopredeter"/>
    <w:uiPriority w:val="99"/>
    <w:semiHidden/>
    <w:unhideWhenUsed/>
    <w:rsid w:val="00595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footer" Target="footer1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365</Words>
  <Characters>2012</Characters>
  <Application>Microsoft Office Word</Application>
  <DocSecurity>0</DocSecurity>
  <Lines>16</Lines>
  <Paragraphs>4</Paragraphs>
  <ScaleCrop>false</ScaleCrop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YASMINA JUARRANZ MORATILLA</dc:creator>
  <cp:keywords/>
  <dc:description/>
  <cp:lastModifiedBy>YASMINA JUARRANZ MORATILLA</cp:lastModifiedBy>
  <cp:revision>1</cp:revision>
  <dcterms:created xsi:type="dcterms:W3CDTF">2026-03-26T15:56:00Z</dcterms:created>
  <dcterms:modified xsi:type="dcterms:W3CDTF">2026-03-26T16:02:00Z</dcterms:modified>
</cp:coreProperties>
</file>