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C6D97" w14:textId="77777777" w:rsidR="003354E4" w:rsidRPr="003354E4" w:rsidRDefault="003354E4" w:rsidP="003354E4">
      <w:pPr>
        <w:rPr>
          <w:b/>
          <w:lang w:val="en-US"/>
        </w:rPr>
      </w:pPr>
      <w:r w:rsidRPr="003354E4">
        <w:rPr>
          <w:b/>
          <w:lang w:val="en-US"/>
        </w:rPr>
        <w:t>Supplementary Information</w:t>
      </w:r>
    </w:p>
    <w:p w14:paraId="42F4E96F" w14:textId="77777777" w:rsidR="003354E4" w:rsidRPr="003354E4" w:rsidRDefault="003354E4" w:rsidP="003354E4">
      <w:pPr>
        <w:rPr>
          <w:bCs/>
          <w:lang w:val="en-US"/>
        </w:rPr>
      </w:pPr>
      <w:r w:rsidRPr="003354E4">
        <w:rPr>
          <w:bCs/>
          <w:lang w:val="en-US"/>
        </w:rPr>
        <w:t>The online version contains supplementary material available at https://doi.XXX</w:t>
      </w:r>
    </w:p>
    <w:p w14:paraId="48AC2E47" w14:textId="77777777" w:rsidR="003354E4" w:rsidRPr="003354E4" w:rsidRDefault="003354E4" w:rsidP="003354E4">
      <w:pPr>
        <w:rPr>
          <w:bCs/>
          <w:lang w:val="en-US"/>
        </w:rPr>
      </w:pPr>
      <w:r w:rsidRPr="003354E4">
        <w:rPr>
          <w:b/>
          <w:lang w:val="en-US"/>
        </w:rPr>
        <w:t>Fig. S1</w:t>
      </w:r>
      <w:r w:rsidRPr="003354E4">
        <w:rPr>
          <w:bCs/>
          <w:lang w:val="en-US"/>
        </w:rPr>
        <w:t xml:space="preserve">: Quality control assessment by GC-TOF-MS. The total ion current (TIC) </w:t>
      </w:r>
      <w:r w:rsidRPr="003354E4">
        <w:rPr>
          <w:lang w:val="en-US"/>
        </w:rPr>
        <w:t>chromatogram of quality control</w:t>
      </w:r>
      <w:r w:rsidRPr="003354E4">
        <w:rPr>
          <w:bCs/>
          <w:lang w:val="en-US"/>
        </w:rPr>
        <w:t xml:space="preserve"> (QC) samples from the experimental group and the characteristic ion current chromatogram of the control group (simple internal standard) were obtained using GC-TOF-MS. The internal standard used was L-2-chlorophenylalanine (CAS: 103616-89-3, Shanghai </w:t>
      </w:r>
      <w:proofErr w:type="spellStart"/>
      <w:r w:rsidRPr="003354E4">
        <w:rPr>
          <w:bCs/>
          <w:lang w:val="en-US"/>
        </w:rPr>
        <w:t>Hengbai</w:t>
      </w:r>
      <w:proofErr w:type="spellEnd"/>
      <w:r w:rsidRPr="003354E4">
        <w:rPr>
          <w:bCs/>
          <w:lang w:val="en-US"/>
        </w:rPr>
        <w:t xml:space="preserve"> Biotechnology Co., Ltd., China). The TIC plot displays the time point on the X-axis and the</w:t>
      </w:r>
      <w:r w:rsidRPr="003354E4">
        <w:rPr>
          <w:lang w:val="en-US"/>
        </w:rPr>
        <w:t xml:space="preserve"> </w:t>
      </w:r>
      <w:r w:rsidRPr="003354E4">
        <w:rPr>
          <w:bCs/>
          <w:lang w:val="en-US"/>
        </w:rPr>
        <w:t xml:space="preserve">summed intensity of all ions in the mass spectrum of each time point on the Y-axis, generating a continuous profile. The QC sample TIC overlay plot was used to assess instrument performance. </w:t>
      </w:r>
      <w:proofErr w:type="gramStart"/>
      <w:r w:rsidRPr="003354E4">
        <w:rPr>
          <w:bCs/>
          <w:lang w:val="en-US"/>
        </w:rPr>
        <w:t>A higher degree of</w:t>
      </w:r>
      <w:proofErr w:type="gramEnd"/>
      <w:r w:rsidRPr="003354E4">
        <w:rPr>
          <w:bCs/>
          <w:lang w:val="en-US"/>
        </w:rPr>
        <w:t xml:space="preserve"> overlap indicates greater instrument stability. </w:t>
      </w:r>
    </w:p>
    <w:p w14:paraId="1078234D" w14:textId="77777777" w:rsidR="003354E4" w:rsidRPr="003354E4" w:rsidRDefault="003354E4" w:rsidP="003354E4">
      <w:pPr>
        <w:rPr>
          <w:bCs/>
          <w:lang w:val="en-US"/>
        </w:rPr>
      </w:pPr>
      <w:r w:rsidRPr="003354E4">
        <w:rPr>
          <w:b/>
          <w:lang w:val="en-US"/>
        </w:rPr>
        <w:t>Fig. S2</w:t>
      </w:r>
      <w:r w:rsidRPr="003354E4">
        <w:rPr>
          <w:bCs/>
          <w:lang w:val="en-US"/>
        </w:rPr>
        <w:t xml:space="preserve">: Principal Component Analysis (PCA) scores plots. PCA scores plots are presented for each organ across </w:t>
      </w:r>
      <w:proofErr w:type="gramStart"/>
      <w:r w:rsidRPr="003354E4">
        <w:rPr>
          <w:bCs/>
          <w:lang w:val="en-US"/>
        </w:rPr>
        <w:t>the different</w:t>
      </w:r>
      <w:proofErr w:type="gramEnd"/>
      <w:r w:rsidRPr="003354E4">
        <w:rPr>
          <w:bCs/>
          <w:lang w:val="en-US"/>
        </w:rPr>
        <w:t xml:space="preserve"> time points. Samples predominantly fall within the 95% confidence interval (Hotelling T2 ellipse). The X-axis represents the first principal component (PC1), and the Y-axis represents the second principal component (PC2).</w:t>
      </w:r>
    </w:p>
    <w:p w14:paraId="6BEEFBB7" w14:textId="77777777" w:rsidR="003354E4" w:rsidRPr="003354E4" w:rsidRDefault="003354E4" w:rsidP="003354E4">
      <w:pPr>
        <w:rPr>
          <w:bCs/>
          <w:lang w:val="en-US"/>
        </w:rPr>
      </w:pPr>
      <w:r w:rsidRPr="003354E4">
        <w:rPr>
          <w:b/>
          <w:lang w:val="en-US"/>
        </w:rPr>
        <w:t>Fig. S3</w:t>
      </w:r>
      <w:r w:rsidRPr="003354E4">
        <w:rPr>
          <w:bCs/>
          <w:lang w:val="en-US"/>
        </w:rPr>
        <w:t>: OPLS-DA model validation. Orthogonal Partial Least Squares-Discriminant Analysis (OPLS-DA) score plots for each organ and their corresponding permutation test plots are provided. The X-axis represents the score for the first predictive component (</w:t>
      </w:r>
      <w:proofErr w:type="gramStart"/>
      <w:r w:rsidRPr="003354E4">
        <w:rPr>
          <w:bCs/>
          <w:lang w:val="en-US"/>
        </w:rPr>
        <w:t>t[</w:t>
      </w:r>
      <w:proofErr w:type="gramEnd"/>
      <w:r w:rsidRPr="003354E4">
        <w:rPr>
          <w:bCs/>
          <w:lang w:val="en-US"/>
        </w:rPr>
        <w:t>1]P), and the Y-axis represents the score for the first orthogonal component (</w:t>
      </w:r>
      <w:proofErr w:type="gramStart"/>
      <w:r w:rsidRPr="003354E4">
        <w:rPr>
          <w:bCs/>
          <w:lang w:val="en-US"/>
        </w:rPr>
        <w:t>t[</w:t>
      </w:r>
      <w:proofErr w:type="gramEnd"/>
      <w:r w:rsidRPr="003354E4">
        <w:rPr>
          <w:bCs/>
          <w:lang w:val="en-US"/>
        </w:rPr>
        <w:t>1]O). Model quality was assessed using R²Y (representing the model's fit) and Q² (representing the model's predictive ability), with values closer to 1 indicating a more robust model. Permutation test results are displayed with green circles (R²) and blue squares (Q²). The green and blue lines represent the regression lines for R² and Q², respectively.</w:t>
      </w:r>
    </w:p>
    <w:p w14:paraId="4A3B84E7" w14:textId="77777777" w:rsidR="003354E4" w:rsidRPr="003354E4" w:rsidRDefault="003354E4" w:rsidP="003354E4">
      <w:pPr>
        <w:rPr>
          <w:bCs/>
          <w:lang w:val="en-US"/>
        </w:rPr>
      </w:pPr>
      <w:r w:rsidRPr="003354E4">
        <w:rPr>
          <w:b/>
          <w:lang w:val="en-US"/>
        </w:rPr>
        <w:t>Fig. S4</w:t>
      </w:r>
      <w:r w:rsidRPr="003354E4">
        <w:rPr>
          <w:bCs/>
          <w:lang w:val="en-US"/>
        </w:rPr>
        <w:t>: KEGG pathway analysis of differential metabolites. Color-coded diagrams illustrate the involvement of differential metabolites in KEGG metabolic pathways. Metabolites showing significant differential expression are marked in red (up-regulated) or blue (down-regulated). Note that the same metabolite may appear in multiple organs within a pathway diagram, potentially with differing expression patterns.</w:t>
      </w:r>
    </w:p>
    <w:p w14:paraId="686681A2" w14:textId="77777777" w:rsidR="003354E4" w:rsidRPr="003354E4" w:rsidRDefault="003354E4" w:rsidP="003354E4">
      <w:pPr>
        <w:rPr>
          <w:bCs/>
          <w:lang w:val="en-US"/>
        </w:rPr>
      </w:pPr>
      <w:r w:rsidRPr="003354E4">
        <w:rPr>
          <w:b/>
          <w:lang w:val="en-US"/>
        </w:rPr>
        <w:t>Data S1</w:t>
      </w:r>
      <w:r w:rsidRPr="003354E4">
        <w:rPr>
          <w:bCs/>
          <w:lang w:val="en-US"/>
        </w:rPr>
        <w:t xml:space="preserve">: Sample information and initial peak identification. This file lists the 80 samples analyzed per organ, their corresponding QC samples, and the associated peak numbers. Retention time (RT) is expressed in minutes (min), representing the time from sample injection to the point of maximum component concentration post-column. ID refers to the data identifier within the import software. 'Count' indicates the number of metabolites matched. 'PEAK' denotes the qualitative name assigned to each substance, and 'similarity' reflects the matching score between the identified substance and the standard library database (maximum score 1000). A higher similarity score indicates </w:t>
      </w:r>
      <w:r w:rsidRPr="003354E4">
        <w:rPr>
          <w:bCs/>
          <w:lang w:val="en-US"/>
        </w:rPr>
        <w:lastRenderedPageBreak/>
        <w:t xml:space="preserve">more accurate identification. Compounds with a similarity score below 200 are designated as 'analyte'. </w:t>
      </w:r>
    </w:p>
    <w:p w14:paraId="3F881D63" w14:textId="77777777" w:rsidR="003354E4" w:rsidRPr="003354E4" w:rsidRDefault="003354E4" w:rsidP="003354E4">
      <w:pPr>
        <w:rPr>
          <w:bCs/>
          <w:lang w:val="en-US"/>
        </w:rPr>
      </w:pPr>
      <w:r w:rsidRPr="003354E4">
        <w:rPr>
          <w:b/>
          <w:lang w:val="en-US"/>
        </w:rPr>
        <w:t>Data S2</w:t>
      </w:r>
      <w:r w:rsidRPr="003354E4">
        <w:rPr>
          <w:bCs/>
          <w:lang w:val="en-US"/>
        </w:rPr>
        <w:t xml:space="preserve">: List of differential metabolites. This file provides </w:t>
      </w:r>
      <w:proofErr w:type="gramStart"/>
      <w:r w:rsidRPr="003354E4">
        <w:rPr>
          <w:bCs/>
          <w:lang w:val="en-US"/>
        </w:rPr>
        <w:t>the</w:t>
      </w:r>
      <w:proofErr w:type="gramEnd"/>
      <w:r w:rsidRPr="003354E4">
        <w:rPr>
          <w:bCs/>
          <w:lang w:val="en-US"/>
        </w:rPr>
        <w:t xml:space="preserve"> screening list of differential metabolites. 'PEAK' and 'similarity' are defined. 'MASS' value corresponds to the mass-to-charge ratio (m/z) of characteristic ions. 'MEANXX' indicates the normalized average peak area for each group. '</w:t>
      </w:r>
      <w:proofErr w:type="spellStart"/>
      <w:r w:rsidRPr="003354E4">
        <w:rPr>
          <w:bCs/>
          <w:lang w:val="en-US"/>
        </w:rPr>
        <w:t>Std.dev</w:t>
      </w:r>
      <w:proofErr w:type="spellEnd"/>
      <w:r w:rsidRPr="003354E4">
        <w:rPr>
          <w:bCs/>
          <w:lang w:val="en-US"/>
        </w:rPr>
        <w:t xml:space="preserve">' denotes the standard deviation between groups. The VIP (Variable Importance in Projection) value reflects the contribution of each variable to group separation. The </w:t>
      </w:r>
      <w:r w:rsidRPr="003354E4">
        <w:rPr>
          <w:bCs/>
          <w:i/>
          <w:iCs/>
          <w:lang w:val="en-US"/>
        </w:rPr>
        <w:t>p</w:t>
      </w:r>
      <w:r w:rsidRPr="003354E4">
        <w:rPr>
          <w:bCs/>
          <w:lang w:val="en-US"/>
        </w:rPr>
        <w:t>-value is derived from student's t-test. The fold change value represents the ratio between group means.</w:t>
      </w:r>
    </w:p>
    <w:p w14:paraId="63DC2A44" w14:textId="77777777" w:rsidR="003354E4" w:rsidRPr="003354E4" w:rsidRDefault="003354E4" w:rsidP="003354E4">
      <w:pPr>
        <w:rPr>
          <w:bCs/>
          <w:lang w:val="en-US"/>
        </w:rPr>
      </w:pPr>
      <w:r w:rsidRPr="003354E4">
        <w:rPr>
          <w:bCs/>
          <w:lang w:val="en-US"/>
        </w:rPr>
        <w:br w:type="page"/>
      </w:r>
    </w:p>
    <w:p w14:paraId="1C4DAEB0"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E4"/>
    <w:rsid w:val="003354E4"/>
    <w:rsid w:val="004F2ED8"/>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B24C"/>
  <w15:chartTrackingRefBased/>
  <w15:docId w15:val="{5FE11C2E-14DD-4DD0-871C-037FC02A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54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54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4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4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4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4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4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4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54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4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4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4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4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4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4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4E4"/>
    <w:rPr>
      <w:rFonts w:eastAsiaTheme="majorEastAsia" w:cstheme="majorBidi"/>
      <w:color w:val="272727" w:themeColor="text1" w:themeTint="D8"/>
    </w:rPr>
  </w:style>
  <w:style w:type="paragraph" w:styleId="Title">
    <w:name w:val="Title"/>
    <w:basedOn w:val="Normal"/>
    <w:next w:val="Normal"/>
    <w:link w:val="TitleChar"/>
    <w:uiPriority w:val="10"/>
    <w:qFormat/>
    <w:rsid w:val="00335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4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4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4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4E4"/>
    <w:pPr>
      <w:spacing w:before="160"/>
      <w:jc w:val="center"/>
    </w:pPr>
    <w:rPr>
      <w:i/>
      <w:iCs/>
      <w:color w:val="404040" w:themeColor="text1" w:themeTint="BF"/>
    </w:rPr>
  </w:style>
  <w:style w:type="character" w:customStyle="1" w:styleId="QuoteChar">
    <w:name w:val="Quote Char"/>
    <w:basedOn w:val="DefaultParagraphFont"/>
    <w:link w:val="Quote"/>
    <w:uiPriority w:val="29"/>
    <w:rsid w:val="003354E4"/>
    <w:rPr>
      <w:i/>
      <w:iCs/>
      <w:color w:val="404040" w:themeColor="text1" w:themeTint="BF"/>
    </w:rPr>
  </w:style>
  <w:style w:type="paragraph" w:styleId="ListParagraph">
    <w:name w:val="List Paragraph"/>
    <w:basedOn w:val="Normal"/>
    <w:uiPriority w:val="34"/>
    <w:qFormat/>
    <w:rsid w:val="003354E4"/>
    <w:pPr>
      <w:ind w:left="720"/>
      <w:contextualSpacing/>
    </w:pPr>
  </w:style>
  <w:style w:type="character" w:styleId="IntenseEmphasis">
    <w:name w:val="Intense Emphasis"/>
    <w:basedOn w:val="DefaultParagraphFont"/>
    <w:uiPriority w:val="21"/>
    <w:qFormat/>
    <w:rsid w:val="003354E4"/>
    <w:rPr>
      <w:i/>
      <w:iCs/>
      <w:color w:val="0F4761" w:themeColor="accent1" w:themeShade="BF"/>
    </w:rPr>
  </w:style>
  <w:style w:type="paragraph" w:styleId="IntenseQuote">
    <w:name w:val="Intense Quote"/>
    <w:basedOn w:val="Normal"/>
    <w:next w:val="Normal"/>
    <w:link w:val="IntenseQuoteChar"/>
    <w:uiPriority w:val="30"/>
    <w:qFormat/>
    <w:rsid w:val="003354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4E4"/>
    <w:rPr>
      <w:i/>
      <w:iCs/>
      <w:color w:val="0F4761" w:themeColor="accent1" w:themeShade="BF"/>
    </w:rPr>
  </w:style>
  <w:style w:type="character" w:styleId="IntenseReference">
    <w:name w:val="Intense Reference"/>
    <w:basedOn w:val="DefaultParagraphFont"/>
    <w:uiPriority w:val="32"/>
    <w:qFormat/>
    <w:rsid w:val="003354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2026-05-25T15:29:00Z</dcterms:created>
  <dcterms:modified xsi:type="dcterms:W3CDTF">2026-05-25T15:29:00Z</dcterms:modified>
</cp:coreProperties>
</file>