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87AEA" w14:textId="77777777" w:rsidR="00A83CC1" w:rsidRPr="008A08F4" w:rsidRDefault="00A83CC1" w:rsidP="00A83CC1">
      <w:pPr>
        <w:spacing w:after="200" w:line="480" w:lineRule="auto"/>
        <w:jc w:val="both"/>
        <w:rPr>
          <w:b/>
          <w:bCs/>
          <w:color w:val="000000" w:themeColor="text1"/>
          <w:lang w:val="en-US"/>
        </w:rPr>
      </w:pPr>
      <w:r w:rsidRPr="008A08F4">
        <w:rPr>
          <w:b/>
          <w:bCs/>
          <w:color w:val="000000" w:themeColor="text1"/>
          <w:lang w:val="en-US"/>
        </w:rPr>
        <w:t>SUPPLEMENTARY FIGURES</w:t>
      </w:r>
    </w:p>
    <w:p w14:paraId="3B503342" w14:textId="77777777" w:rsidR="00A83CC1" w:rsidRDefault="00A83CC1" w:rsidP="00A83CC1">
      <w:pPr>
        <w:spacing w:after="200" w:line="480" w:lineRule="auto"/>
        <w:jc w:val="both"/>
        <w:rPr>
          <w:b/>
          <w:bCs/>
          <w:color w:val="000000" w:themeColor="text1"/>
          <w:lang w:val="en-US"/>
        </w:rPr>
      </w:pPr>
      <w:r>
        <w:rPr>
          <w:b/>
          <w:bCs/>
          <w:noProof/>
          <w:color w:val="000000" w:themeColor="text1"/>
          <w:lang w:val="en-US"/>
        </w:rPr>
        <w:drawing>
          <wp:inline distT="0" distB="0" distL="0" distR="0" wp14:anchorId="4689F4B9" wp14:editId="357E2D75">
            <wp:extent cx="4495072" cy="6493934"/>
            <wp:effectExtent l="0" t="0" r="1270" b="0"/>
            <wp:docPr id="65279381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793815" name="Image 652793815"/>
                    <pic:cNvPicPr/>
                  </pic:nvPicPr>
                  <pic:blipFill>
                    <a:blip r:embed="rId4" cstate="print">
                      <a:extLst>
                        <a:ext uri="{28A0092B-C50C-407E-A947-70E740481C1C}">
                          <a14:useLocalDpi xmlns:a14="http://schemas.microsoft.com/office/drawing/2010/main" val="0"/>
                        </a:ext>
                      </a:extLst>
                    </a:blip>
                    <a:stretch>
                      <a:fillRect/>
                    </a:stretch>
                  </pic:blipFill>
                  <pic:spPr>
                    <a:xfrm>
                      <a:off x="0" y="0"/>
                      <a:ext cx="4601207" cy="6647265"/>
                    </a:xfrm>
                    <a:prstGeom prst="rect">
                      <a:avLst/>
                    </a:prstGeom>
                  </pic:spPr>
                </pic:pic>
              </a:graphicData>
            </a:graphic>
          </wp:inline>
        </w:drawing>
      </w:r>
    </w:p>
    <w:p w14:paraId="0ECB3310" w14:textId="77777777" w:rsidR="00A83CC1" w:rsidRPr="008A08F4" w:rsidRDefault="00A83CC1" w:rsidP="00A83CC1">
      <w:pPr>
        <w:spacing w:after="200" w:line="480" w:lineRule="auto"/>
        <w:jc w:val="both"/>
        <w:rPr>
          <w:b/>
          <w:bCs/>
          <w:color w:val="000000" w:themeColor="text1"/>
          <w:lang w:val="en-US"/>
        </w:rPr>
      </w:pPr>
      <w:r w:rsidRPr="008A08F4">
        <w:rPr>
          <w:b/>
          <w:bCs/>
          <w:color w:val="000000" w:themeColor="text1"/>
          <w:lang w:val="en-US"/>
        </w:rPr>
        <w:t>Supplementary Fig.1: Experimental setups for calibrating model parameters.</w:t>
      </w:r>
    </w:p>
    <w:p w14:paraId="24729640" w14:textId="77777777" w:rsidR="00A83CC1" w:rsidRPr="008A08F4" w:rsidRDefault="00A83CC1" w:rsidP="00A83CC1">
      <w:pPr>
        <w:spacing w:before="240" w:after="240" w:line="480" w:lineRule="auto"/>
        <w:jc w:val="both"/>
        <w:rPr>
          <w:color w:val="000000" w:themeColor="text1"/>
          <w:lang w:val="en-US"/>
        </w:rPr>
      </w:pPr>
      <w:r w:rsidRPr="008A08F4">
        <w:rPr>
          <w:color w:val="000000" w:themeColor="text1"/>
          <w:lang w:val="en-US"/>
        </w:rPr>
        <w:lastRenderedPageBreak/>
        <w:t xml:space="preserve">Experimental design to estimate: (A) </w:t>
      </w:r>
      <w:r>
        <w:rPr>
          <w:color w:val="000000"/>
          <w:lang w:val="en-US"/>
        </w:rPr>
        <w:t>latent periods</w:t>
      </w:r>
      <w:r w:rsidRPr="008A08F4">
        <w:rPr>
          <w:color w:val="000000" w:themeColor="text1"/>
          <w:lang w:val="en-US"/>
        </w:rPr>
        <w:t xml:space="preserve"> (</w:t>
      </w:r>
      <w:r w:rsidRPr="008A08F4">
        <w:rPr>
          <w:i/>
          <w:iCs/>
          <w:color w:val="000000" w:themeColor="text1"/>
        </w:rPr>
        <w:t>ρ</w:t>
      </w:r>
      <w:r w:rsidRPr="008A08F4">
        <w:rPr>
          <w:rFonts w:ascii="Cambria Math" w:hAnsi="Cambria Math" w:cs="Cambria Math"/>
          <w:i/>
          <w:iCs/>
          <w:color w:val="000000" w:themeColor="text1"/>
          <w:lang w:val="en-US"/>
        </w:rPr>
        <w:t>₁</w:t>
      </w:r>
      <w:r w:rsidRPr="008A08F4">
        <w:rPr>
          <w:color w:val="000000" w:themeColor="text1"/>
          <w:lang w:val="en-US"/>
        </w:rPr>
        <w:t xml:space="preserve"> and </w:t>
      </w:r>
      <w:r w:rsidRPr="008A08F4">
        <w:rPr>
          <w:i/>
          <w:iCs/>
          <w:color w:val="000000" w:themeColor="text1"/>
        </w:rPr>
        <w:t>ρ</w:t>
      </w:r>
      <w:r w:rsidRPr="008A08F4">
        <w:rPr>
          <w:rFonts w:ascii="Cambria Math" w:hAnsi="Cambria Math" w:cs="Cambria Math"/>
          <w:i/>
          <w:iCs/>
          <w:color w:val="000000" w:themeColor="text1"/>
          <w:lang w:val="en-US"/>
        </w:rPr>
        <w:t>₂</w:t>
      </w:r>
      <w:r w:rsidRPr="008A08F4">
        <w:rPr>
          <w:color w:val="000000" w:themeColor="text1"/>
          <w:lang w:val="en-US"/>
        </w:rPr>
        <w:t>), infectious periods (</w:t>
      </w:r>
      <w:r w:rsidRPr="008A08F4">
        <w:rPr>
          <w:i/>
          <w:iCs/>
          <w:color w:val="000000" w:themeColor="text1"/>
        </w:rPr>
        <w:t>γ</w:t>
      </w:r>
      <w:r w:rsidRPr="008A08F4">
        <w:rPr>
          <w:color w:val="000000" w:themeColor="text1"/>
          <w:lang w:val="en-US"/>
        </w:rPr>
        <w:t xml:space="preserve"> and </w:t>
      </w:r>
      <w:r w:rsidRPr="008A08F4">
        <w:rPr>
          <w:i/>
          <w:iCs/>
          <w:color w:val="000000" w:themeColor="text1"/>
        </w:rPr>
        <w:t>δ</w:t>
      </w:r>
      <w:r w:rsidRPr="008A08F4">
        <w:rPr>
          <w:rFonts w:ascii="Cambria Math" w:hAnsi="Cambria Math" w:cs="Cambria Math"/>
          <w:i/>
          <w:iCs/>
          <w:color w:val="000000" w:themeColor="text1"/>
          <w:lang w:val="en-US"/>
        </w:rPr>
        <w:t>₁</w:t>
      </w:r>
      <w:r w:rsidRPr="008A08F4">
        <w:rPr>
          <w:color w:val="000000" w:themeColor="text1"/>
          <w:lang w:val="en-US"/>
        </w:rPr>
        <w:t>), and shedding rates of living oysters (</w:t>
      </w:r>
      <w:r w:rsidRPr="008A08F4">
        <w:rPr>
          <w:i/>
          <w:iCs/>
          <w:color w:val="000000" w:themeColor="text1"/>
        </w:rPr>
        <w:t>ω</w:t>
      </w:r>
      <w:r w:rsidRPr="008A08F4">
        <w:rPr>
          <w:rFonts w:ascii="Cambria Math" w:hAnsi="Cambria Math" w:cs="Cambria Math"/>
          <w:i/>
          <w:iCs/>
          <w:color w:val="000000" w:themeColor="text1"/>
          <w:lang w:val="en-US"/>
        </w:rPr>
        <w:t>₁</w:t>
      </w:r>
      <w:r w:rsidRPr="008A08F4">
        <w:rPr>
          <w:color w:val="000000" w:themeColor="text1"/>
          <w:lang w:val="en-US"/>
        </w:rPr>
        <w:t xml:space="preserve"> and </w:t>
      </w:r>
      <w:r w:rsidRPr="008A08F4">
        <w:rPr>
          <w:i/>
          <w:iCs/>
          <w:color w:val="000000" w:themeColor="text1"/>
        </w:rPr>
        <w:t>ω</w:t>
      </w:r>
      <w:r w:rsidRPr="008A08F4">
        <w:rPr>
          <w:rFonts w:ascii="Cambria Math" w:hAnsi="Cambria Math" w:cs="Cambria Math"/>
          <w:i/>
          <w:iCs/>
          <w:color w:val="000000" w:themeColor="text1"/>
          <w:lang w:val="en-US"/>
        </w:rPr>
        <w:t>₂</w:t>
      </w:r>
      <w:r w:rsidRPr="008A08F4">
        <w:rPr>
          <w:color w:val="000000" w:themeColor="text1"/>
          <w:lang w:val="en-US"/>
        </w:rPr>
        <w:t>); (B) shedding rate of dead oysters (</w:t>
      </w:r>
      <w:r w:rsidRPr="008A08F4">
        <w:rPr>
          <w:i/>
          <w:iCs/>
          <w:color w:val="000000" w:themeColor="text1"/>
        </w:rPr>
        <w:t>ω</w:t>
      </w:r>
      <w:r w:rsidRPr="008A08F4">
        <w:rPr>
          <w:rFonts w:ascii="Cambria Math" w:hAnsi="Cambria Math" w:cs="Cambria Math"/>
          <w:i/>
          <w:iCs/>
          <w:color w:val="000000" w:themeColor="text1"/>
          <w:lang w:val="en-US"/>
        </w:rPr>
        <w:t>₃</w:t>
      </w:r>
      <w:r w:rsidRPr="008A08F4">
        <w:rPr>
          <w:color w:val="000000" w:themeColor="text1"/>
          <w:lang w:val="en-US"/>
        </w:rPr>
        <w:t>); (C) viral concentration required to infect 50% of individuals (</w:t>
      </w:r>
      <w:r w:rsidRPr="008A08F4">
        <w:rPr>
          <w:i/>
          <w:iCs/>
          <w:color w:val="000000" w:themeColor="text1"/>
          <w:lang w:val="en-US"/>
        </w:rPr>
        <w:t>K</w:t>
      </w:r>
      <w:r w:rsidRPr="008A08F4">
        <w:rPr>
          <w:color w:val="000000" w:themeColor="text1"/>
          <w:lang w:val="en-US"/>
        </w:rPr>
        <w:t>); (D) inactivation rate of viral particles (</w:t>
      </w:r>
      <w:r w:rsidRPr="008A08F4">
        <w:rPr>
          <w:i/>
          <w:iCs/>
          <w:color w:val="000000" w:themeColor="text1"/>
        </w:rPr>
        <w:t>ε</w:t>
      </w:r>
      <w:r w:rsidRPr="008A08F4">
        <w:rPr>
          <w:color w:val="000000" w:themeColor="text1"/>
          <w:lang w:val="en-US"/>
        </w:rPr>
        <w:t xml:space="preserve">). </w:t>
      </w:r>
    </w:p>
    <w:p w14:paraId="5AFAD9E2" w14:textId="77777777" w:rsidR="00A83CC1" w:rsidRPr="008A08F4" w:rsidRDefault="00A83CC1" w:rsidP="00A83CC1">
      <w:pPr>
        <w:spacing w:before="240" w:after="240" w:line="480" w:lineRule="auto"/>
        <w:jc w:val="both"/>
        <w:rPr>
          <w:color w:val="000000" w:themeColor="text1"/>
          <w:lang w:val="en-US"/>
        </w:rPr>
      </w:pPr>
      <w:r>
        <w:rPr>
          <w:noProof/>
          <w:color w:val="000000" w:themeColor="text1"/>
          <w:lang w:val="en-US"/>
        </w:rPr>
        <w:drawing>
          <wp:inline distT="0" distB="0" distL="0" distR="0" wp14:anchorId="44A2A996" wp14:editId="2F50AF4B">
            <wp:extent cx="5733415" cy="4422140"/>
            <wp:effectExtent l="0" t="0" r="0" b="0"/>
            <wp:docPr id="172222397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223971" name="Image 172222397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3415" cy="4422140"/>
                    </a:xfrm>
                    <a:prstGeom prst="rect">
                      <a:avLst/>
                    </a:prstGeom>
                  </pic:spPr>
                </pic:pic>
              </a:graphicData>
            </a:graphic>
          </wp:inline>
        </w:drawing>
      </w:r>
    </w:p>
    <w:p w14:paraId="64859BA0" w14:textId="77777777" w:rsidR="00A83CC1" w:rsidRPr="008A08F4" w:rsidRDefault="00A83CC1" w:rsidP="00A83CC1">
      <w:pPr>
        <w:spacing w:before="240" w:after="240" w:line="480" w:lineRule="auto"/>
        <w:jc w:val="both"/>
        <w:rPr>
          <w:b/>
          <w:bCs/>
          <w:color w:val="000000" w:themeColor="text1"/>
          <w:lang w:val="en-US"/>
        </w:rPr>
      </w:pPr>
      <w:r w:rsidRPr="008A08F4">
        <w:rPr>
          <w:b/>
          <w:bCs/>
          <w:color w:val="000000" w:themeColor="text1"/>
          <w:lang w:val="en-US"/>
        </w:rPr>
        <w:t>Supplementatry Fig.2:</w:t>
      </w:r>
      <w:r w:rsidRPr="008A08F4">
        <w:rPr>
          <w:color w:val="000000" w:themeColor="text1"/>
          <w:lang w:val="en-US"/>
        </w:rPr>
        <w:t xml:space="preserve"> </w:t>
      </w:r>
      <w:r w:rsidRPr="008A08F4">
        <w:rPr>
          <w:b/>
          <w:bCs/>
          <w:color w:val="000000" w:themeColor="text1"/>
          <w:lang w:val="en-US"/>
        </w:rPr>
        <w:t xml:space="preserve">Distribution of </w:t>
      </w:r>
      <w:r>
        <w:rPr>
          <w:b/>
          <w:bCs/>
          <w:color w:val="000000"/>
          <w:lang w:val="en-US"/>
        </w:rPr>
        <w:t>latent periods</w:t>
      </w:r>
      <w:r w:rsidRPr="008A08F4">
        <w:rPr>
          <w:b/>
          <w:bCs/>
          <w:color w:val="000000" w:themeColor="text1"/>
          <w:lang w:val="en-US"/>
        </w:rPr>
        <w:t>, infectious periods and shedding rates for both oysters that survived and succumbed to infection.</w:t>
      </w:r>
    </w:p>
    <w:p w14:paraId="74B031DF" w14:textId="77777777" w:rsidR="00A83CC1" w:rsidRPr="008A08F4" w:rsidRDefault="00A83CC1" w:rsidP="00A83CC1">
      <w:pPr>
        <w:spacing w:before="240" w:after="240" w:line="480" w:lineRule="auto"/>
        <w:jc w:val="both"/>
        <w:rPr>
          <w:color w:val="000000" w:themeColor="text1"/>
          <w:lang w:val="en-US"/>
        </w:rPr>
      </w:pPr>
      <w:r w:rsidRPr="008A08F4">
        <w:rPr>
          <w:color w:val="000000" w:themeColor="text1"/>
          <w:lang w:val="en-US"/>
        </w:rPr>
        <w:t xml:space="preserve">(A) Distribution of parameters associated with oyster transition rates: </w:t>
      </w:r>
      <w:r w:rsidRPr="008A08F4">
        <w:rPr>
          <w:i/>
          <w:color w:val="000000" w:themeColor="text1"/>
        </w:rPr>
        <w:t>ρ</w:t>
      </w:r>
      <w:r w:rsidRPr="008A08F4">
        <w:rPr>
          <w:i/>
          <w:color w:val="000000" w:themeColor="text1"/>
          <w:vertAlign w:val="subscript"/>
          <w:lang w:val="en-US"/>
        </w:rPr>
        <w:t>1</w:t>
      </w:r>
      <w:r w:rsidRPr="008A08F4">
        <w:rPr>
          <w:color w:val="000000" w:themeColor="text1"/>
          <w:lang w:val="en-US"/>
        </w:rPr>
        <w:t xml:space="preserve"> (mean = 34.9 h), </w:t>
      </w:r>
      <w:r w:rsidRPr="008A08F4">
        <w:rPr>
          <w:i/>
          <w:color w:val="000000" w:themeColor="text1"/>
        </w:rPr>
        <w:t>ρ</w:t>
      </w:r>
      <w:r w:rsidRPr="008A08F4">
        <w:rPr>
          <w:i/>
          <w:color w:val="000000" w:themeColor="text1"/>
          <w:vertAlign w:val="subscript"/>
          <w:lang w:val="en-US"/>
        </w:rPr>
        <w:t>2</w:t>
      </w:r>
      <w:r w:rsidRPr="008A08F4">
        <w:rPr>
          <w:color w:val="000000" w:themeColor="text1"/>
          <w:lang w:val="en-US"/>
        </w:rPr>
        <w:t xml:space="preserve"> (mean = 20.1 h), </w:t>
      </w:r>
      <w:r w:rsidRPr="008A08F4">
        <w:rPr>
          <w:i/>
          <w:color w:val="000000" w:themeColor="text1"/>
        </w:rPr>
        <w:t>γ</w:t>
      </w:r>
      <w:r w:rsidRPr="008A08F4">
        <w:rPr>
          <w:color w:val="000000" w:themeColor="text1"/>
          <w:lang w:val="en-US"/>
        </w:rPr>
        <w:t xml:space="preserve"> (mean = 66.5 h) and </w:t>
      </w:r>
      <w:r w:rsidRPr="008A08F4">
        <w:rPr>
          <w:i/>
          <w:color w:val="000000" w:themeColor="text1"/>
        </w:rPr>
        <w:t>δ</w:t>
      </w:r>
      <w:r w:rsidRPr="008A08F4">
        <w:rPr>
          <w:i/>
          <w:color w:val="000000" w:themeColor="text1"/>
          <w:vertAlign w:val="subscript"/>
          <w:lang w:val="en-US"/>
        </w:rPr>
        <w:t>1</w:t>
      </w:r>
      <w:r w:rsidRPr="008A08F4">
        <w:rPr>
          <w:color w:val="000000" w:themeColor="text1"/>
          <w:lang w:val="en-US"/>
        </w:rPr>
        <w:t xml:space="preserve"> (mean = 96.7 h). (B) Distribution of parameters associated with shedding rates: </w:t>
      </w:r>
      <w:r w:rsidRPr="008A08F4">
        <w:rPr>
          <w:i/>
          <w:color w:val="000000" w:themeColor="text1"/>
        </w:rPr>
        <w:t>ω</w:t>
      </w:r>
      <w:r w:rsidRPr="008A08F4">
        <w:rPr>
          <w:i/>
          <w:color w:val="000000" w:themeColor="text1"/>
          <w:vertAlign w:val="subscript"/>
          <w:lang w:val="en-US"/>
        </w:rPr>
        <w:t>1</w:t>
      </w:r>
      <w:r w:rsidRPr="008A08F4">
        <w:rPr>
          <w:color w:val="000000" w:themeColor="text1"/>
          <w:lang w:val="en-US"/>
        </w:rPr>
        <w:t xml:space="preserve"> (mean = 6.3 log(cp</w:t>
      </w:r>
      <w:r>
        <w:rPr>
          <w:color w:val="000000" w:themeColor="text1"/>
          <w:lang w:val="en-US"/>
        </w:rPr>
        <w:t>.</w:t>
      </w:r>
      <w:r w:rsidRPr="008A08F4">
        <w:rPr>
          <w:color w:val="000000" w:themeColor="text1"/>
          <w:lang w:val="en-US"/>
        </w:rPr>
        <w:t>h</w:t>
      </w:r>
      <w:r w:rsidRPr="008A08F4">
        <w:rPr>
          <w:rFonts w:ascii="Cambria Math" w:hAnsi="Cambria Math" w:cs="Cambria Math"/>
          <w:color w:val="000000" w:themeColor="text1"/>
          <w:lang w:val="en-US"/>
        </w:rPr>
        <w:t>⁻</w:t>
      </w:r>
      <w:r w:rsidRPr="008A08F4">
        <w:rPr>
          <w:color w:val="000000" w:themeColor="text1"/>
          <w:lang w:val="en-US"/>
        </w:rPr>
        <w:t xml:space="preserve">¹)), </w:t>
      </w:r>
      <w:r w:rsidRPr="008A08F4">
        <w:rPr>
          <w:i/>
          <w:color w:val="000000" w:themeColor="text1"/>
        </w:rPr>
        <w:t>ω</w:t>
      </w:r>
      <w:r w:rsidRPr="008A08F4">
        <w:rPr>
          <w:i/>
          <w:color w:val="000000" w:themeColor="text1"/>
          <w:vertAlign w:val="subscript"/>
          <w:lang w:val="en-US"/>
        </w:rPr>
        <w:t>2</w:t>
      </w:r>
      <w:r w:rsidRPr="008A08F4">
        <w:rPr>
          <w:color w:val="000000" w:themeColor="text1"/>
          <w:lang w:val="en-US"/>
        </w:rPr>
        <w:t xml:space="preserve"> (mean = 7.8 log(cp</w:t>
      </w:r>
      <w:r>
        <w:rPr>
          <w:color w:val="000000" w:themeColor="text1"/>
          <w:lang w:val="en-US"/>
        </w:rPr>
        <w:t>.</w:t>
      </w:r>
      <w:r w:rsidRPr="008A08F4">
        <w:rPr>
          <w:color w:val="000000" w:themeColor="text1"/>
          <w:lang w:val="en-US"/>
        </w:rPr>
        <w:t>h</w:t>
      </w:r>
      <w:r w:rsidRPr="008A08F4">
        <w:rPr>
          <w:rFonts w:ascii="Cambria Math" w:hAnsi="Cambria Math" w:cs="Cambria Math"/>
          <w:color w:val="000000" w:themeColor="text1"/>
          <w:lang w:val="en-US"/>
        </w:rPr>
        <w:t>⁻</w:t>
      </w:r>
      <w:r w:rsidRPr="008A08F4">
        <w:rPr>
          <w:color w:val="000000" w:themeColor="text1"/>
          <w:lang w:val="en-US"/>
        </w:rPr>
        <w:t xml:space="preserve">¹)) and </w:t>
      </w:r>
      <w:r w:rsidRPr="008A08F4">
        <w:rPr>
          <w:i/>
          <w:color w:val="000000" w:themeColor="text1"/>
        </w:rPr>
        <w:t>ω</w:t>
      </w:r>
      <w:r w:rsidRPr="008A08F4">
        <w:rPr>
          <w:i/>
          <w:color w:val="000000" w:themeColor="text1"/>
          <w:vertAlign w:val="subscript"/>
          <w:lang w:val="en-US"/>
        </w:rPr>
        <w:t>3</w:t>
      </w:r>
      <w:r w:rsidRPr="008A08F4">
        <w:rPr>
          <w:color w:val="000000" w:themeColor="text1"/>
          <w:lang w:val="en-US"/>
        </w:rPr>
        <w:t xml:space="preserve"> (mean = 6.0 log(cp</w:t>
      </w:r>
      <w:r>
        <w:rPr>
          <w:color w:val="000000" w:themeColor="text1"/>
          <w:lang w:val="en-US"/>
        </w:rPr>
        <w:t>.</w:t>
      </w:r>
      <w:r w:rsidRPr="008A08F4">
        <w:rPr>
          <w:color w:val="000000" w:themeColor="text1"/>
          <w:lang w:val="en-US"/>
        </w:rPr>
        <w:t>h</w:t>
      </w:r>
      <w:r w:rsidRPr="008A08F4">
        <w:rPr>
          <w:rFonts w:ascii="Cambria Math" w:hAnsi="Cambria Math" w:cs="Cambria Math"/>
          <w:color w:val="000000" w:themeColor="text1"/>
          <w:lang w:val="en-US"/>
        </w:rPr>
        <w:t>⁻</w:t>
      </w:r>
      <w:r w:rsidRPr="008A08F4">
        <w:rPr>
          <w:color w:val="000000" w:themeColor="text1"/>
          <w:lang w:val="en-US"/>
        </w:rPr>
        <w:t>¹)).</w:t>
      </w:r>
    </w:p>
    <w:p w14:paraId="267635AB" w14:textId="77777777" w:rsidR="00A83CC1" w:rsidRDefault="00A83CC1" w:rsidP="00A83CC1">
      <w:pPr>
        <w:spacing w:before="240" w:after="240" w:line="480" w:lineRule="auto"/>
        <w:jc w:val="both"/>
        <w:rPr>
          <w:color w:val="000000" w:themeColor="text1"/>
          <w:lang w:val="en-US"/>
        </w:rPr>
      </w:pPr>
    </w:p>
    <w:p w14:paraId="1FF5AC20" w14:textId="77777777" w:rsidR="00A83CC1" w:rsidRDefault="00A83CC1" w:rsidP="00A83CC1">
      <w:pPr>
        <w:spacing w:before="240" w:after="240" w:line="480" w:lineRule="auto"/>
        <w:jc w:val="both"/>
        <w:rPr>
          <w:color w:val="000000" w:themeColor="text1"/>
          <w:lang w:val="en-US"/>
        </w:rPr>
      </w:pPr>
    </w:p>
    <w:p w14:paraId="2ED91AA6" w14:textId="77777777" w:rsidR="00A83CC1" w:rsidRDefault="00A83CC1" w:rsidP="00A83CC1">
      <w:pPr>
        <w:spacing w:before="240" w:after="240" w:line="480" w:lineRule="auto"/>
        <w:jc w:val="both"/>
        <w:rPr>
          <w:color w:val="000000" w:themeColor="text1"/>
          <w:lang w:val="en-US"/>
        </w:rPr>
      </w:pPr>
    </w:p>
    <w:p w14:paraId="59E00FAB" w14:textId="77777777" w:rsidR="00A83CC1" w:rsidRDefault="00A83CC1" w:rsidP="00A83CC1">
      <w:pPr>
        <w:spacing w:before="240" w:after="240" w:line="480" w:lineRule="auto"/>
        <w:jc w:val="both"/>
        <w:rPr>
          <w:color w:val="000000" w:themeColor="text1"/>
          <w:lang w:val="en-US"/>
        </w:rPr>
      </w:pPr>
    </w:p>
    <w:p w14:paraId="03C60A43" w14:textId="77777777" w:rsidR="00A83CC1" w:rsidRPr="008A08F4" w:rsidRDefault="00A83CC1" w:rsidP="00A83CC1">
      <w:pPr>
        <w:spacing w:before="240" w:after="240" w:line="480" w:lineRule="auto"/>
        <w:jc w:val="both"/>
        <w:rPr>
          <w:color w:val="000000" w:themeColor="text1"/>
          <w:lang w:val="en-US"/>
        </w:rPr>
      </w:pPr>
      <w:r>
        <w:rPr>
          <w:noProof/>
          <w:color w:val="000000" w:themeColor="text1"/>
          <w:lang w:val="en-US"/>
        </w:rPr>
        <w:drawing>
          <wp:inline distT="0" distB="0" distL="0" distR="0" wp14:anchorId="456194E1" wp14:editId="4B996443">
            <wp:extent cx="5487324" cy="5545667"/>
            <wp:effectExtent l="0" t="0" r="0" b="4445"/>
            <wp:docPr id="58996138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961385" name="Image 58996138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96629" cy="5555071"/>
                    </a:xfrm>
                    <a:prstGeom prst="rect">
                      <a:avLst/>
                    </a:prstGeom>
                  </pic:spPr>
                </pic:pic>
              </a:graphicData>
            </a:graphic>
          </wp:inline>
        </w:drawing>
      </w:r>
    </w:p>
    <w:p w14:paraId="5F845879" w14:textId="77777777" w:rsidR="00A83CC1" w:rsidRPr="008A08F4" w:rsidRDefault="00A83CC1" w:rsidP="00A83CC1">
      <w:pPr>
        <w:spacing w:before="240" w:after="240" w:line="480" w:lineRule="auto"/>
        <w:jc w:val="both"/>
        <w:rPr>
          <w:b/>
          <w:bCs/>
          <w:color w:val="000000" w:themeColor="text1"/>
          <w:lang w:val="en-US"/>
        </w:rPr>
      </w:pPr>
      <w:r w:rsidRPr="008A08F4">
        <w:rPr>
          <w:b/>
          <w:bCs/>
          <w:color w:val="000000" w:themeColor="text1"/>
          <w:lang w:val="en-US"/>
        </w:rPr>
        <w:lastRenderedPageBreak/>
        <w:t>Supplementary Fig.3: Estimation of the 50% infectious concentration and virus decay rate in seawater.</w:t>
      </w:r>
    </w:p>
    <w:p w14:paraId="7342F345" w14:textId="77777777" w:rsidR="00A83CC1" w:rsidRPr="008A08F4" w:rsidRDefault="00A83CC1" w:rsidP="00A83CC1">
      <w:pPr>
        <w:spacing w:before="240" w:after="240" w:line="480" w:lineRule="auto"/>
        <w:jc w:val="both"/>
        <w:rPr>
          <w:color w:val="000000" w:themeColor="text1"/>
          <w:lang w:val="en-US"/>
        </w:rPr>
      </w:pPr>
      <w:r w:rsidRPr="008A08F4">
        <w:rPr>
          <w:color w:val="000000" w:themeColor="text1"/>
          <w:lang w:val="en-US"/>
        </w:rPr>
        <w:t>(A) Linear regression (R² = 3.12 × 10</w:t>
      </w:r>
      <w:r w:rsidRPr="008A08F4">
        <w:rPr>
          <w:color w:val="000000" w:themeColor="text1"/>
          <w:vertAlign w:val="superscript"/>
          <w:lang w:val="en-US"/>
        </w:rPr>
        <w:t>-1</w:t>
      </w:r>
      <w:r w:rsidRPr="008A08F4">
        <w:rPr>
          <w:color w:val="000000" w:themeColor="text1"/>
          <w:lang w:val="en-US"/>
        </w:rPr>
        <w:t>, slope = 6.10 × 10</w:t>
      </w:r>
      <w:r w:rsidRPr="008A08F4">
        <w:rPr>
          <w:color w:val="000000" w:themeColor="text1"/>
          <w:vertAlign w:val="superscript"/>
          <w:lang w:val="en-US"/>
        </w:rPr>
        <w:t>-2</w:t>
      </w:r>
      <w:r w:rsidRPr="008A08F4">
        <w:rPr>
          <w:color w:val="000000" w:themeColor="text1"/>
          <w:lang w:val="en-US"/>
        </w:rPr>
        <w:t xml:space="preserve"> and intercept = 2.98 × 10</w:t>
      </w:r>
      <w:r w:rsidRPr="008A08F4">
        <w:rPr>
          <w:color w:val="000000" w:themeColor="text1"/>
          <w:vertAlign w:val="superscript"/>
          <w:lang w:val="en-US"/>
        </w:rPr>
        <w:t>-1</w:t>
      </w:r>
      <w:r w:rsidRPr="008A08F4">
        <w:rPr>
          <w:color w:val="000000" w:themeColor="text1"/>
          <w:lang w:val="en-US"/>
        </w:rPr>
        <w:t>) to estimate the 50% infectious dose (</w:t>
      </w:r>
      <w:r w:rsidRPr="008A08F4">
        <w:rPr>
          <w:i/>
          <w:iCs/>
          <w:color w:val="000000" w:themeColor="text1"/>
          <w:lang w:val="en-US"/>
        </w:rPr>
        <w:t>K</w:t>
      </w:r>
      <w:r w:rsidRPr="008A08F4">
        <w:rPr>
          <w:color w:val="000000" w:themeColor="text1"/>
          <w:lang w:val="en-US"/>
        </w:rPr>
        <w:t>). (B) The survival rates (</w:t>
      </w:r>
      <w:r w:rsidRPr="008A08F4">
        <w:rPr>
          <w:i/>
          <w:color w:val="000000" w:themeColor="text1"/>
          <w:lang w:val="en-US"/>
        </w:rPr>
        <w:t>S</w:t>
      </w:r>
      <w:r w:rsidRPr="008A08F4">
        <w:rPr>
          <w:color w:val="000000" w:themeColor="text1"/>
          <w:lang w:val="en-US"/>
        </w:rPr>
        <w:t>) observed after 10 days of exposure used to estimate the concentration of active viral particles in seawater rested for varying durations before exposure. (C) Concentrations estimated using the Hill equation with the estimation of the 50% infectious concentration (</w:t>
      </w:r>
      <w:r w:rsidRPr="008A08F4">
        <w:rPr>
          <w:i/>
          <w:iCs/>
          <w:color w:val="000000" w:themeColor="text1"/>
          <w:lang w:val="en-US"/>
        </w:rPr>
        <w:t>K</w:t>
      </w:r>
      <w:r w:rsidRPr="008A08F4">
        <w:rPr>
          <w:color w:val="000000" w:themeColor="text1"/>
          <w:lang w:val="en-US"/>
        </w:rPr>
        <w:t>) and mortality rates (</w:t>
      </w:r>
      <w:r w:rsidRPr="008A08F4">
        <w:rPr>
          <w:i/>
          <w:color w:val="000000" w:themeColor="text1"/>
          <w:lang w:val="en-US"/>
        </w:rPr>
        <w:t>M</w:t>
      </w:r>
      <w:r w:rsidRPr="008A08F4">
        <w:rPr>
          <w:color w:val="000000" w:themeColor="text1"/>
          <w:lang w:val="en-US"/>
        </w:rPr>
        <w:t>). (D and E) Linear regression (R² = 8.01 × 10</w:t>
      </w:r>
      <w:r w:rsidRPr="008A08F4">
        <w:rPr>
          <w:color w:val="000000" w:themeColor="text1"/>
          <w:vertAlign w:val="superscript"/>
          <w:lang w:val="en-US"/>
        </w:rPr>
        <w:t>-1</w:t>
      </w:r>
      <w:r w:rsidRPr="008A08F4">
        <w:rPr>
          <w:color w:val="000000" w:themeColor="text1"/>
          <w:lang w:val="en-US"/>
        </w:rPr>
        <w:t>, slope = - 9.38 × 10</w:t>
      </w:r>
      <w:r w:rsidRPr="008A08F4">
        <w:rPr>
          <w:color w:val="000000" w:themeColor="text1"/>
          <w:vertAlign w:val="superscript"/>
          <w:lang w:val="en-US"/>
        </w:rPr>
        <w:t>-1</w:t>
      </w:r>
      <w:r w:rsidRPr="008A08F4">
        <w:rPr>
          <w:color w:val="000000" w:themeColor="text1"/>
          <w:lang w:val="en-US"/>
        </w:rPr>
        <w:t xml:space="preserve"> and intercept = 15.96) to estimate the viral particles inactivation rate and its confidence interval.</w:t>
      </w:r>
    </w:p>
    <w:p w14:paraId="6A7B8BAF" w14:textId="77777777" w:rsidR="00A83CC1" w:rsidRPr="008A08F4" w:rsidRDefault="00A83CC1" w:rsidP="00A83CC1">
      <w:pPr>
        <w:spacing w:before="240" w:after="240" w:line="480" w:lineRule="auto"/>
        <w:jc w:val="both"/>
        <w:rPr>
          <w:color w:val="000000" w:themeColor="text1"/>
          <w:lang w:val="en-US"/>
        </w:rPr>
      </w:pPr>
      <w:r>
        <w:rPr>
          <w:noProof/>
          <w:color w:val="000000" w:themeColor="text1"/>
          <w:lang w:val="en-US"/>
        </w:rPr>
        <w:drawing>
          <wp:inline distT="0" distB="0" distL="0" distR="0" wp14:anchorId="56A84717" wp14:editId="10BC14A6">
            <wp:extent cx="5733415" cy="3529965"/>
            <wp:effectExtent l="0" t="0" r="0" b="635"/>
            <wp:docPr id="25185678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856784" name="Image 25185678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3415" cy="3529965"/>
                    </a:xfrm>
                    <a:prstGeom prst="rect">
                      <a:avLst/>
                    </a:prstGeom>
                  </pic:spPr>
                </pic:pic>
              </a:graphicData>
            </a:graphic>
          </wp:inline>
        </w:drawing>
      </w:r>
    </w:p>
    <w:p w14:paraId="20AAAEE3" w14:textId="77777777" w:rsidR="00A83CC1" w:rsidRPr="008A08F4" w:rsidRDefault="00A83CC1" w:rsidP="00A83CC1">
      <w:pPr>
        <w:spacing w:after="200" w:line="480" w:lineRule="auto"/>
        <w:jc w:val="both"/>
        <w:rPr>
          <w:b/>
          <w:bCs/>
          <w:color w:val="000000" w:themeColor="text1"/>
          <w:lang w:val="en-US"/>
        </w:rPr>
      </w:pPr>
      <w:r w:rsidRPr="008A08F4">
        <w:rPr>
          <w:b/>
          <w:bCs/>
          <w:color w:val="000000" w:themeColor="text1"/>
          <w:lang w:val="en-US"/>
        </w:rPr>
        <w:t>Supplementary Fig.4: Impact of ABC calibration on model performance.</w:t>
      </w:r>
    </w:p>
    <w:p w14:paraId="4F040D09" w14:textId="77777777" w:rsidR="00A83CC1" w:rsidRPr="008A08F4" w:rsidRDefault="00A83CC1" w:rsidP="00A83CC1">
      <w:pPr>
        <w:spacing w:after="200" w:line="480" w:lineRule="auto"/>
        <w:jc w:val="both"/>
        <w:rPr>
          <w:color w:val="000000" w:themeColor="text1"/>
          <w:lang w:val="en-US"/>
        </w:rPr>
      </w:pPr>
      <w:r w:rsidRPr="008A08F4">
        <w:rPr>
          <w:color w:val="000000" w:themeColor="text1"/>
          <w:lang w:val="en-US"/>
        </w:rPr>
        <w:lastRenderedPageBreak/>
        <w:t xml:space="preserve">Prior (dotted lines) and posterior (solid lines) density of the model parameters from the ABC approach. Medians were compared to estimate the percentage change between prior and posterior (calculated using back-transformed values for </w:t>
      </w:r>
      <w:r w:rsidRPr="008A08F4">
        <w:rPr>
          <w:i/>
          <w:color w:val="000000" w:themeColor="text1"/>
        </w:rPr>
        <w:t>ω</w:t>
      </w:r>
      <w:r w:rsidRPr="008A08F4">
        <w:rPr>
          <w:i/>
          <w:color w:val="000000" w:themeColor="text1"/>
          <w:vertAlign w:val="subscript"/>
          <w:lang w:val="en-US"/>
        </w:rPr>
        <w:t>1</w:t>
      </w:r>
      <w:r w:rsidRPr="008A08F4">
        <w:rPr>
          <w:i/>
          <w:color w:val="000000" w:themeColor="text1"/>
          <w:lang w:val="en-US"/>
        </w:rPr>
        <w:t xml:space="preserve">, </w:t>
      </w:r>
      <w:r w:rsidRPr="008A08F4">
        <w:rPr>
          <w:i/>
          <w:color w:val="000000" w:themeColor="text1"/>
        </w:rPr>
        <w:t>ω</w:t>
      </w:r>
      <w:r w:rsidRPr="008A08F4">
        <w:rPr>
          <w:i/>
          <w:color w:val="000000" w:themeColor="text1"/>
          <w:vertAlign w:val="subscript"/>
          <w:lang w:val="en-US"/>
        </w:rPr>
        <w:t>2</w:t>
      </w:r>
      <w:r w:rsidRPr="008A08F4">
        <w:rPr>
          <w:color w:val="000000" w:themeColor="text1"/>
          <w:lang w:val="en-US"/>
        </w:rPr>
        <w:t xml:space="preserve"> and </w:t>
      </w:r>
      <w:r w:rsidRPr="008A08F4">
        <w:rPr>
          <w:i/>
          <w:color w:val="000000" w:themeColor="text1"/>
        </w:rPr>
        <w:t>ω</w:t>
      </w:r>
      <w:r w:rsidRPr="008A08F4">
        <w:rPr>
          <w:i/>
          <w:color w:val="000000" w:themeColor="text1"/>
          <w:vertAlign w:val="subscript"/>
          <w:lang w:val="en-US"/>
        </w:rPr>
        <w:t>3</w:t>
      </w:r>
      <w:r w:rsidRPr="008A08F4">
        <w:rPr>
          <w:color w:val="000000" w:themeColor="text1"/>
          <w:lang w:val="en-US"/>
        </w:rPr>
        <w:t>).</w:t>
      </w:r>
    </w:p>
    <w:p w14:paraId="6974F28D" w14:textId="77777777" w:rsidR="00A83CC1" w:rsidRDefault="00A83CC1" w:rsidP="00A83CC1">
      <w:pPr>
        <w:spacing w:before="240" w:after="240" w:line="360" w:lineRule="auto"/>
        <w:jc w:val="both"/>
        <w:rPr>
          <w:color w:val="000000" w:themeColor="text1"/>
          <w:sz w:val="18"/>
          <w:szCs w:val="18"/>
          <w:lang w:val="en-US"/>
        </w:rPr>
      </w:pPr>
    </w:p>
    <w:p w14:paraId="01B3624B"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CC1"/>
    <w:rsid w:val="003C2EF4"/>
    <w:rsid w:val="00446799"/>
    <w:rsid w:val="006A7E07"/>
    <w:rsid w:val="00701021"/>
    <w:rsid w:val="00A83CC1"/>
    <w:rsid w:val="00B74216"/>
    <w:rsid w:val="00D45133"/>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53253"/>
  <w15:chartTrackingRefBased/>
  <w15:docId w15:val="{CABD676C-36A6-493B-9D2B-A17CC9529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CC1"/>
    <w:pPr>
      <w:spacing w:after="0" w:line="276" w:lineRule="auto"/>
    </w:pPr>
    <w:rPr>
      <w:rFonts w:ascii="Arial" w:eastAsia="Arial" w:hAnsi="Arial" w:cs="Arial"/>
      <w:kern w:val="0"/>
      <w:sz w:val="22"/>
      <w:szCs w:val="22"/>
      <w:lang w:val="fr" w:eastAsia="fr-FR"/>
      <w14:ligatures w14:val="none"/>
    </w:rPr>
  </w:style>
  <w:style w:type="paragraph" w:styleId="Heading1">
    <w:name w:val="heading 1"/>
    <w:basedOn w:val="Normal"/>
    <w:next w:val="Normal"/>
    <w:link w:val="Heading1Char"/>
    <w:uiPriority w:val="9"/>
    <w:qFormat/>
    <w:rsid w:val="00A83CC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83CC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83CC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83CC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A83CC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A83CC1"/>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A83CC1"/>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A83CC1"/>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A83CC1"/>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C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3C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3C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3C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3C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3C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3C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3C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3CC1"/>
    <w:rPr>
      <w:rFonts w:eastAsiaTheme="majorEastAsia" w:cstheme="majorBidi"/>
      <w:color w:val="272727" w:themeColor="text1" w:themeTint="D8"/>
    </w:rPr>
  </w:style>
  <w:style w:type="paragraph" w:styleId="Title">
    <w:name w:val="Title"/>
    <w:basedOn w:val="Normal"/>
    <w:next w:val="Normal"/>
    <w:link w:val="TitleChar"/>
    <w:uiPriority w:val="10"/>
    <w:qFormat/>
    <w:rsid w:val="00A83CC1"/>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83C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3CC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83C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3CC1"/>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A83CC1"/>
    <w:rPr>
      <w:i/>
      <w:iCs/>
      <w:color w:val="404040" w:themeColor="text1" w:themeTint="BF"/>
    </w:rPr>
  </w:style>
  <w:style w:type="paragraph" w:styleId="ListParagraph">
    <w:name w:val="List Paragraph"/>
    <w:basedOn w:val="Normal"/>
    <w:uiPriority w:val="34"/>
    <w:qFormat/>
    <w:rsid w:val="00A83CC1"/>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A83CC1"/>
    <w:rPr>
      <w:i/>
      <w:iCs/>
      <w:color w:val="0F4761" w:themeColor="accent1" w:themeShade="BF"/>
    </w:rPr>
  </w:style>
  <w:style w:type="paragraph" w:styleId="IntenseQuote">
    <w:name w:val="Intense Quote"/>
    <w:basedOn w:val="Normal"/>
    <w:next w:val="Normal"/>
    <w:link w:val="IntenseQuoteChar"/>
    <w:uiPriority w:val="30"/>
    <w:qFormat/>
    <w:rsid w:val="00A83CC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A83CC1"/>
    <w:rPr>
      <w:i/>
      <w:iCs/>
      <w:color w:val="0F4761" w:themeColor="accent1" w:themeShade="BF"/>
    </w:rPr>
  </w:style>
  <w:style w:type="character" w:styleId="IntenseReference">
    <w:name w:val="Intense Reference"/>
    <w:basedOn w:val="DefaultParagraphFont"/>
    <w:uiPriority w:val="32"/>
    <w:qFormat/>
    <w:rsid w:val="00A83C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269</Words>
  <Characters>1642</Characters>
  <Application>Microsoft Office Word</Application>
  <DocSecurity>0</DocSecurity>
  <Lines>31</Lines>
  <Paragraphs>10</Paragraphs>
  <ScaleCrop>false</ScaleCrop>
  <Company>Springer Nature</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2026-04-07T12:17:00Z</dcterms:created>
  <dcterms:modified xsi:type="dcterms:W3CDTF">2026-04-07T12:17:00Z</dcterms:modified>
</cp:coreProperties>
</file>