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Supplementary Figure Legends</w:t>
      </w:r>
    </w:p>
    <w:p/>
    <w:p>
      <w:r>
        <w:rPr>
          <w:b/>
          <w:sz w:val="22"/>
        </w:rPr>
        <w:t xml:space="preserve">Supplementary Figure S1. </w:t>
      </w:r>
      <w:r>
        <w:rPr>
          <w:sz w:val="22"/>
        </w:rPr>
        <w:t>Top cascade pairs for ibm_fez. Qubit pairs with the largest absolute correlation change between early and late temporal windows, ranked by |delta_r|.</w:t>
      </w:r>
    </w:p>
    <w:p/>
    <w:p>
      <w:r>
        <w:rPr>
          <w:b/>
          <w:sz w:val="22"/>
        </w:rPr>
        <w:t xml:space="preserve">Supplementary Figure S2. </w:t>
      </w:r>
      <w:r>
        <w:rPr>
          <w:sz w:val="22"/>
        </w:rPr>
        <w:t>Qubit-level cascade participation for ibm_fez. Each bar shows the number of cascade pairs in which a given qubit participates, revealing concentration of architecture reorganisation in a subset of qubits.</w:t>
      </w:r>
    </w:p>
    <w:p/>
    <w:p>
      <w:r>
        <w:rPr>
          <w:b/>
          <w:sz w:val="22"/>
        </w:rPr>
        <w:t xml:space="preserve">Supplementary Figure S3. </w:t>
      </w:r>
      <w:r>
        <w:rPr>
          <w:sz w:val="22"/>
        </w:rPr>
        <w:t>Individual metric trends versus WJ cascade participation for ibm_fez. Scatter plots show per-qubit linear trends in each calibration metric against cascade pair count. Weak, non-significant correlations confirm that WJ detects architecture change beyond individual parameter drift.</w:t>
      </w:r>
    </w:p>
    <w:p/>
    <w:p>
      <w:r>
        <w:rPr>
          <w:b/>
          <w:sz w:val="22"/>
        </w:rPr>
        <w:t xml:space="preserve">Supplementary Figure S4. </w:t>
      </w:r>
      <w:r>
        <w:rPr>
          <w:sz w:val="22"/>
        </w:rPr>
        <w:t>Top cascade pairs for ibm_torino. Same analysis as Supplementary Fig. S1.</w:t>
      </w:r>
    </w:p>
    <w:p/>
    <w:p>
      <w:r>
        <w:rPr>
          <w:b/>
          <w:sz w:val="22"/>
        </w:rPr>
        <w:t xml:space="preserve">Supplementary Figure S5. </w:t>
      </w:r>
      <w:r>
        <w:rPr>
          <w:sz w:val="22"/>
        </w:rPr>
        <w:t>Qubit-level cascade participation for ibm_torino. Same analysis as Supplementary Fig. S2.</w:t>
      </w:r>
    </w:p>
    <w:p/>
    <w:p>
      <w:r>
        <w:rPr>
          <w:b/>
          <w:sz w:val="22"/>
        </w:rPr>
        <w:t xml:space="preserve">Supplementary Figure S6. </w:t>
      </w:r>
      <w:r>
        <w:rPr>
          <w:sz w:val="22"/>
        </w:rPr>
        <w:t>Correlation matrix comparison for ibm_torino. Left: average early-window matrix. Centre: average late-window matrix. Right: difference matrix.</w:t>
      </w:r>
    </w:p>
    <w:p/>
    <w:p>
      <w:r>
        <w:rPr>
          <w:b/>
          <w:sz w:val="22"/>
        </w:rPr>
        <w:t xml:space="preserve">Supplementary Figure S7. </w:t>
      </w:r>
      <w:r>
        <w:rPr>
          <w:sz w:val="22"/>
        </w:rPr>
        <w:t>Dissociation of WJ cascade participation from conventional degradation indicators for ibm_torino. Same analysis as Fig. 5.</w:t>
      </w:r>
    </w:p>
    <w:p/>
    <w:p>
      <w:r>
        <w:rPr>
          <w:b/>
          <w:sz w:val="22"/>
        </w:rPr>
        <w:t xml:space="preserve">Supplementary Figure S8. </w:t>
      </w:r>
      <w:r>
        <w:rPr>
          <w:sz w:val="22"/>
        </w:rPr>
        <w:t>Top cascade pairs for ibm_marrakesh. Same analysis as Supplementary Fig. S1.</w:t>
      </w:r>
    </w:p>
    <w:p/>
    <w:p>
      <w:r>
        <w:rPr>
          <w:b/>
          <w:sz w:val="22"/>
        </w:rPr>
        <w:t xml:space="preserve">Supplementary Figure S9. </w:t>
      </w:r>
      <w:r>
        <w:rPr>
          <w:sz w:val="22"/>
        </w:rPr>
        <w:t>Qubit-level cascade participation for ibm_marrakesh. Same analysis as Supplementary Fig. S2.</w:t>
      </w:r>
    </w:p>
    <w:p/>
    <w:p>
      <w:r>
        <w:rPr>
          <w:b/>
          <w:sz w:val="22"/>
        </w:rPr>
        <w:t xml:space="preserve">Supplementary Figure S10. </w:t>
      </w:r>
      <w:r>
        <w:rPr>
          <w:sz w:val="22"/>
        </w:rPr>
        <w:t>Correlation matrix comparison for ibm_marrakesh. Left: average early-window matrix. Centre: average late-window matrix. Right: difference matrix.</w:t>
      </w:r>
    </w:p>
    <w:p/>
    <w:p>
      <w:r>
        <w:rPr>
          <w:b/>
          <w:sz w:val="22"/>
        </w:rPr>
        <w:t xml:space="preserve">Supplementary Figure S11. </w:t>
      </w:r>
      <w:r>
        <w:rPr>
          <w:sz w:val="22"/>
        </w:rPr>
        <w:t>Dissociation of WJ cascade participation from conventional degradation indicators for ibm_marrakesh. Same analysis as Fig. 5.</w:t>
      </w:r>
    </w:p>
    <w:p/>
    <w:sectPr w:rsidR="00FC693F" w:rsidRPr="0006063C" w:rsidSect="000346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="480" w:lineRule="auto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