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94555" w14:textId="77777777" w:rsidR="00BD2A07" w:rsidRPr="00502A64" w:rsidRDefault="00BD2A07" w:rsidP="00BD2A0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02A64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table 1. Univariable Firth-penalised logistic regressions for early remission (t</w:t>
      </w:r>
      <w:r w:rsidRPr="00502A64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GB"/>
        </w:rPr>
        <w:t>R1</w:t>
      </w:r>
      <w:r w:rsidRPr="00502A64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14:paraId="46558793" w14:textId="77777777" w:rsidR="00BD2A07" w:rsidRPr="00502A64" w:rsidRDefault="00BD2A07" w:rsidP="00BD2A07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02A64">
        <w:rPr>
          <w:rFonts w:ascii="Times New Roman" w:hAnsi="Times New Roman" w:cs="Times New Roman"/>
          <w:sz w:val="24"/>
          <w:szCs w:val="24"/>
          <w:lang w:val="en-GB"/>
        </w:rPr>
        <w:t>Supplementary table 1 legend: Univariable Firth-penalised logistic regression models assessing the association between each patient- and treatment-related variable and early remission (t</w:t>
      </w:r>
      <w:r w:rsidRPr="00502A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R1</w:t>
      </w:r>
      <w:r w:rsidRPr="00502A64">
        <w:rPr>
          <w:rFonts w:ascii="Times New Roman" w:hAnsi="Times New Roman" w:cs="Times New Roman"/>
          <w:sz w:val="24"/>
          <w:szCs w:val="24"/>
          <w:lang w:val="en-GB"/>
        </w:rPr>
        <w:t xml:space="preserve">, 6 months after immunotherapy initiation). Continuous variables (age and delay to immunotherapy) were z-standardised (mean-centred and scaled by their sample standard deviation). ORs &gt; 1 indicate higher odds of early remission. </w:t>
      </w:r>
    </w:p>
    <w:p w14:paraId="5A3EE6FF" w14:textId="77777777" w:rsidR="00BD2A07" w:rsidRPr="00502A64" w:rsidRDefault="00BD2A07" w:rsidP="00BD2A07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15436" w:type="dxa"/>
        <w:tblInd w:w="-717" w:type="dxa"/>
        <w:tblLook w:val="04A0" w:firstRow="1" w:lastRow="0" w:firstColumn="1" w:lastColumn="0" w:noHBand="0" w:noVBand="1"/>
      </w:tblPr>
      <w:tblGrid>
        <w:gridCol w:w="2638"/>
        <w:gridCol w:w="2161"/>
        <w:gridCol w:w="3423"/>
        <w:gridCol w:w="2126"/>
        <w:gridCol w:w="1134"/>
        <w:gridCol w:w="2126"/>
        <w:gridCol w:w="1828"/>
      </w:tblGrid>
      <w:tr w:rsidR="00BD2A07" w:rsidRPr="00502A64" w14:paraId="51A6D095" w14:textId="77777777" w:rsidTr="00F5423B">
        <w:tc>
          <w:tcPr>
            <w:tcW w:w="2638" w:type="dxa"/>
            <w:vAlign w:val="center"/>
          </w:tcPr>
          <w:p w14:paraId="3A30A140" w14:textId="77777777" w:rsidR="00BD2A07" w:rsidRPr="00502A64" w:rsidRDefault="00BD2A07" w:rsidP="00F5423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02A64">
              <w:rPr>
                <w:rFonts w:ascii="Times New Roman" w:hAnsi="Times New Roman" w:cs="Times New Roman"/>
                <w:b/>
                <w:bCs/>
                <w:lang w:val="en-GB"/>
              </w:rPr>
              <w:t>Predictor</w:t>
            </w:r>
          </w:p>
        </w:tc>
        <w:tc>
          <w:tcPr>
            <w:tcW w:w="2161" w:type="dxa"/>
            <w:vAlign w:val="center"/>
          </w:tcPr>
          <w:p w14:paraId="76A6DB34" w14:textId="77777777" w:rsidR="00BD2A07" w:rsidRPr="00502A64" w:rsidRDefault="00BD2A07" w:rsidP="00F5423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02A64">
              <w:rPr>
                <w:rFonts w:ascii="Times New Roman" w:hAnsi="Times New Roman" w:cs="Times New Roman"/>
                <w:b/>
                <w:bCs/>
                <w:lang w:val="en-GB"/>
              </w:rPr>
              <w:t>Category</w:t>
            </w:r>
          </w:p>
        </w:tc>
        <w:tc>
          <w:tcPr>
            <w:tcW w:w="3423" w:type="dxa"/>
            <w:vAlign w:val="center"/>
          </w:tcPr>
          <w:p w14:paraId="7A345A9D" w14:textId="77777777" w:rsidR="00BD2A07" w:rsidRPr="00502A64" w:rsidRDefault="00BD2A07" w:rsidP="00F5423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02A64">
              <w:rPr>
                <w:rFonts w:ascii="Times New Roman" w:hAnsi="Times New Roman" w:cs="Times New Roman"/>
                <w:b/>
                <w:bCs/>
                <w:lang w:val="en-GB"/>
              </w:rPr>
              <w:t>Coding / Unit</w:t>
            </w:r>
          </w:p>
        </w:tc>
        <w:tc>
          <w:tcPr>
            <w:tcW w:w="2126" w:type="dxa"/>
            <w:vAlign w:val="center"/>
          </w:tcPr>
          <w:p w14:paraId="45853BA3" w14:textId="77777777" w:rsidR="00BD2A07" w:rsidRPr="00502A64" w:rsidRDefault="00BD2A07" w:rsidP="00F5423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02A64">
              <w:rPr>
                <w:rFonts w:ascii="Times New Roman" w:hAnsi="Times New Roman" w:cs="Times New Roman"/>
                <w:b/>
                <w:bCs/>
                <w:lang w:val="en-GB"/>
              </w:rPr>
              <w:t>OR (95% CI)</w:t>
            </w:r>
          </w:p>
        </w:tc>
        <w:tc>
          <w:tcPr>
            <w:tcW w:w="1134" w:type="dxa"/>
          </w:tcPr>
          <w:p w14:paraId="234DA6C5" w14:textId="77777777" w:rsidR="00BD2A07" w:rsidRPr="00502A64" w:rsidRDefault="00BD2A07" w:rsidP="00F5423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02A64">
              <w:rPr>
                <w:rFonts w:ascii="Times New Roman" w:hAnsi="Times New Roman" w:cs="Times New Roman"/>
                <w:b/>
                <w:bCs/>
                <w:lang w:val="en-GB"/>
              </w:rPr>
              <w:t>p-values</w:t>
            </w:r>
          </w:p>
        </w:tc>
        <w:tc>
          <w:tcPr>
            <w:tcW w:w="2126" w:type="dxa"/>
            <w:vAlign w:val="center"/>
          </w:tcPr>
          <w:p w14:paraId="7503A323" w14:textId="77777777" w:rsidR="00BD2A07" w:rsidRPr="00502A64" w:rsidRDefault="00BD2A07" w:rsidP="00F5423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02A64">
              <w:rPr>
                <w:rFonts w:ascii="Times New Roman" w:hAnsi="Times New Roman" w:cs="Times New Roman"/>
                <w:b/>
                <w:bCs/>
                <w:lang w:val="en-GB"/>
              </w:rPr>
              <w:t>AUC (95% CI)</w:t>
            </w:r>
          </w:p>
        </w:tc>
        <w:tc>
          <w:tcPr>
            <w:tcW w:w="1828" w:type="dxa"/>
            <w:vAlign w:val="center"/>
          </w:tcPr>
          <w:p w14:paraId="2796722C" w14:textId="77777777" w:rsidR="00BD2A07" w:rsidRPr="00502A64" w:rsidRDefault="00BD2A07" w:rsidP="00F5423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02A64">
              <w:rPr>
                <w:rFonts w:ascii="Times New Roman" w:hAnsi="Times New Roman" w:cs="Times New Roman"/>
                <w:b/>
                <w:bCs/>
                <w:lang w:val="en-GB"/>
              </w:rPr>
              <w:t>Comment</w:t>
            </w:r>
          </w:p>
        </w:tc>
      </w:tr>
      <w:tr w:rsidR="00BD2A07" w:rsidRPr="00502A64" w14:paraId="47ADB6BA" w14:textId="77777777" w:rsidTr="00F5423B">
        <w:tc>
          <w:tcPr>
            <w:tcW w:w="2638" w:type="dxa"/>
            <w:vAlign w:val="center"/>
          </w:tcPr>
          <w:p w14:paraId="079CD2BA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Full corticosteroid protocol</w:t>
            </w:r>
          </w:p>
        </w:tc>
        <w:tc>
          <w:tcPr>
            <w:tcW w:w="2161" w:type="dxa"/>
            <w:vAlign w:val="center"/>
          </w:tcPr>
          <w:p w14:paraId="264CE0F2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Treatment-related</w:t>
            </w:r>
          </w:p>
        </w:tc>
        <w:tc>
          <w:tcPr>
            <w:tcW w:w="3423" w:type="dxa"/>
            <w:vAlign w:val="center"/>
          </w:tcPr>
          <w:p w14:paraId="6E5E604E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Yes vs no</w:t>
            </w:r>
          </w:p>
        </w:tc>
        <w:tc>
          <w:tcPr>
            <w:tcW w:w="2126" w:type="dxa"/>
            <w:vAlign w:val="center"/>
          </w:tcPr>
          <w:p w14:paraId="35A1799C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7.45 (1.47–74.96)</w:t>
            </w:r>
          </w:p>
        </w:tc>
        <w:tc>
          <w:tcPr>
            <w:tcW w:w="1134" w:type="dxa"/>
          </w:tcPr>
          <w:p w14:paraId="0EC33775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0.01</w:t>
            </w:r>
          </w:p>
        </w:tc>
        <w:tc>
          <w:tcPr>
            <w:tcW w:w="2126" w:type="dxa"/>
            <w:vAlign w:val="center"/>
          </w:tcPr>
          <w:p w14:paraId="7233388D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0.71 (0.59–0.82)</w:t>
            </w:r>
          </w:p>
        </w:tc>
        <w:tc>
          <w:tcPr>
            <w:tcW w:w="1828" w:type="dxa"/>
            <w:vAlign w:val="center"/>
          </w:tcPr>
          <w:p w14:paraId="320D6A24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2A07" w:rsidRPr="00502A64" w14:paraId="7AD68EB1" w14:textId="77777777" w:rsidTr="00F5423B">
        <w:tc>
          <w:tcPr>
            <w:tcW w:w="2638" w:type="dxa"/>
            <w:vAlign w:val="center"/>
          </w:tcPr>
          <w:p w14:paraId="6E47DAA1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 xml:space="preserve">Corticosteroid bolus </w:t>
            </w:r>
          </w:p>
        </w:tc>
        <w:tc>
          <w:tcPr>
            <w:tcW w:w="2161" w:type="dxa"/>
            <w:vAlign w:val="center"/>
          </w:tcPr>
          <w:p w14:paraId="559B4341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Treatment-related</w:t>
            </w:r>
          </w:p>
        </w:tc>
        <w:tc>
          <w:tcPr>
            <w:tcW w:w="3423" w:type="dxa"/>
            <w:vAlign w:val="center"/>
          </w:tcPr>
          <w:p w14:paraId="406FFCB0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Yes vs no</w:t>
            </w:r>
          </w:p>
        </w:tc>
        <w:tc>
          <w:tcPr>
            <w:tcW w:w="2126" w:type="dxa"/>
            <w:vAlign w:val="center"/>
          </w:tcPr>
          <w:p w14:paraId="233DD13E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2.93 (0.74–13.77)</w:t>
            </w:r>
          </w:p>
        </w:tc>
        <w:tc>
          <w:tcPr>
            <w:tcW w:w="1134" w:type="dxa"/>
          </w:tcPr>
          <w:p w14:paraId="1591012E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0.13</w:t>
            </w:r>
          </w:p>
        </w:tc>
        <w:tc>
          <w:tcPr>
            <w:tcW w:w="2126" w:type="dxa"/>
            <w:vAlign w:val="center"/>
          </w:tcPr>
          <w:p w14:paraId="76E70A63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0.64 (0.47–0.79)</w:t>
            </w:r>
          </w:p>
        </w:tc>
        <w:tc>
          <w:tcPr>
            <w:tcW w:w="1828" w:type="dxa"/>
            <w:vAlign w:val="center"/>
          </w:tcPr>
          <w:p w14:paraId="18867F83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2A07" w:rsidRPr="00502A64" w14:paraId="32070644" w14:textId="77777777" w:rsidTr="00F5423B">
        <w:tc>
          <w:tcPr>
            <w:tcW w:w="2638" w:type="dxa"/>
            <w:vAlign w:val="center"/>
          </w:tcPr>
          <w:p w14:paraId="142D0ECB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Gender</w:t>
            </w:r>
          </w:p>
        </w:tc>
        <w:tc>
          <w:tcPr>
            <w:tcW w:w="2161" w:type="dxa"/>
            <w:vAlign w:val="center"/>
          </w:tcPr>
          <w:p w14:paraId="1F9D4A34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Patient-related</w:t>
            </w:r>
          </w:p>
        </w:tc>
        <w:tc>
          <w:tcPr>
            <w:tcW w:w="3423" w:type="dxa"/>
            <w:vAlign w:val="center"/>
          </w:tcPr>
          <w:p w14:paraId="7034792A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Male vs female</w:t>
            </w:r>
          </w:p>
        </w:tc>
        <w:tc>
          <w:tcPr>
            <w:tcW w:w="2126" w:type="dxa"/>
            <w:vAlign w:val="center"/>
          </w:tcPr>
          <w:p w14:paraId="28193D04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2.80 (0.72–11.46)</w:t>
            </w:r>
          </w:p>
        </w:tc>
        <w:tc>
          <w:tcPr>
            <w:tcW w:w="1134" w:type="dxa"/>
          </w:tcPr>
          <w:p w14:paraId="6B468690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0.14</w:t>
            </w:r>
          </w:p>
        </w:tc>
        <w:tc>
          <w:tcPr>
            <w:tcW w:w="2126" w:type="dxa"/>
            <w:vAlign w:val="center"/>
          </w:tcPr>
          <w:p w14:paraId="0BA5206D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0.63 (0.46–0.80)</w:t>
            </w:r>
          </w:p>
        </w:tc>
        <w:tc>
          <w:tcPr>
            <w:tcW w:w="1828" w:type="dxa"/>
            <w:vAlign w:val="center"/>
          </w:tcPr>
          <w:p w14:paraId="58D9AE78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2A07" w:rsidRPr="00502A64" w14:paraId="2FABAD42" w14:textId="77777777" w:rsidTr="00F5423B">
        <w:tc>
          <w:tcPr>
            <w:tcW w:w="2638" w:type="dxa"/>
            <w:vAlign w:val="center"/>
          </w:tcPr>
          <w:p w14:paraId="52881BEB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Oral corticosteroids</w:t>
            </w:r>
          </w:p>
        </w:tc>
        <w:tc>
          <w:tcPr>
            <w:tcW w:w="2161" w:type="dxa"/>
            <w:vAlign w:val="center"/>
          </w:tcPr>
          <w:p w14:paraId="4AA3EF92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Treatment-related</w:t>
            </w:r>
          </w:p>
        </w:tc>
        <w:tc>
          <w:tcPr>
            <w:tcW w:w="3423" w:type="dxa"/>
            <w:vAlign w:val="center"/>
          </w:tcPr>
          <w:p w14:paraId="0E2A8EC8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Yes vs no</w:t>
            </w:r>
          </w:p>
        </w:tc>
        <w:tc>
          <w:tcPr>
            <w:tcW w:w="2126" w:type="dxa"/>
            <w:vAlign w:val="center"/>
          </w:tcPr>
          <w:p w14:paraId="11B440DD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1.66 (0.39–6.76)</w:t>
            </w:r>
          </w:p>
        </w:tc>
        <w:tc>
          <w:tcPr>
            <w:tcW w:w="1134" w:type="dxa"/>
          </w:tcPr>
          <w:p w14:paraId="4B290639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0.48</w:t>
            </w:r>
          </w:p>
        </w:tc>
        <w:tc>
          <w:tcPr>
            <w:tcW w:w="2126" w:type="dxa"/>
            <w:vAlign w:val="center"/>
          </w:tcPr>
          <w:p w14:paraId="7FE08B6D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0.55 (0.38–0.71)</w:t>
            </w:r>
          </w:p>
        </w:tc>
        <w:tc>
          <w:tcPr>
            <w:tcW w:w="1828" w:type="dxa"/>
            <w:vAlign w:val="center"/>
          </w:tcPr>
          <w:p w14:paraId="6451C2D1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2A07" w:rsidRPr="00502A64" w14:paraId="219578AD" w14:textId="77777777" w:rsidTr="00F5423B">
        <w:tc>
          <w:tcPr>
            <w:tcW w:w="2638" w:type="dxa"/>
            <w:vAlign w:val="center"/>
          </w:tcPr>
          <w:p w14:paraId="682294F1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Delay to immunotherapy</w:t>
            </w:r>
          </w:p>
        </w:tc>
        <w:tc>
          <w:tcPr>
            <w:tcW w:w="2161" w:type="dxa"/>
            <w:vAlign w:val="center"/>
          </w:tcPr>
          <w:p w14:paraId="11B8C4D5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Treatment-related</w:t>
            </w:r>
          </w:p>
        </w:tc>
        <w:tc>
          <w:tcPr>
            <w:tcW w:w="3423" w:type="dxa"/>
            <w:vAlign w:val="center"/>
          </w:tcPr>
          <w:p w14:paraId="7863ECB4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Per 1-SD increase (z-standardized)</w:t>
            </w:r>
          </w:p>
        </w:tc>
        <w:tc>
          <w:tcPr>
            <w:tcW w:w="2126" w:type="dxa"/>
            <w:vAlign w:val="center"/>
          </w:tcPr>
          <w:p w14:paraId="2C7CA09D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1.31 (0.67–3.42)</w:t>
            </w:r>
          </w:p>
        </w:tc>
        <w:tc>
          <w:tcPr>
            <w:tcW w:w="1134" w:type="dxa"/>
          </w:tcPr>
          <w:p w14:paraId="442A7E2D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0.47</w:t>
            </w:r>
          </w:p>
        </w:tc>
        <w:tc>
          <w:tcPr>
            <w:tcW w:w="2126" w:type="dxa"/>
            <w:vAlign w:val="center"/>
          </w:tcPr>
          <w:p w14:paraId="2D3767B4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0.57 (0.38–0.75)</w:t>
            </w:r>
          </w:p>
        </w:tc>
        <w:tc>
          <w:tcPr>
            <w:tcW w:w="1828" w:type="dxa"/>
            <w:vAlign w:val="center"/>
          </w:tcPr>
          <w:p w14:paraId="419238AF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SD = 4.45 months</w:t>
            </w:r>
          </w:p>
        </w:tc>
      </w:tr>
      <w:tr w:rsidR="00BD2A07" w:rsidRPr="00502A64" w14:paraId="7B97FDEB" w14:textId="77777777" w:rsidTr="00F5423B">
        <w:tc>
          <w:tcPr>
            <w:tcW w:w="2638" w:type="dxa"/>
            <w:vAlign w:val="center"/>
          </w:tcPr>
          <w:p w14:paraId="7E435C49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Any corticosteroids</w:t>
            </w:r>
          </w:p>
        </w:tc>
        <w:tc>
          <w:tcPr>
            <w:tcW w:w="2161" w:type="dxa"/>
            <w:vAlign w:val="center"/>
          </w:tcPr>
          <w:p w14:paraId="79385BBF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Treatment-related</w:t>
            </w:r>
          </w:p>
        </w:tc>
        <w:tc>
          <w:tcPr>
            <w:tcW w:w="3423" w:type="dxa"/>
            <w:vAlign w:val="center"/>
          </w:tcPr>
          <w:p w14:paraId="022498B7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Yes vs no</w:t>
            </w:r>
          </w:p>
        </w:tc>
        <w:tc>
          <w:tcPr>
            <w:tcW w:w="2126" w:type="dxa"/>
            <w:vAlign w:val="center"/>
          </w:tcPr>
          <w:p w14:paraId="51034E5D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1.03 (0.17–4.96)</w:t>
            </w:r>
          </w:p>
        </w:tc>
        <w:tc>
          <w:tcPr>
            <w:tcW w:w="1134" w:type="dxa"/>
          </w:tcPr>
          <w:p w14:paraId="06E2343C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0.97</w:t>
            </w:r>
          </w:p>
        </w:tc>
        <w:tc>
          <w:tcPr>
            <w:tcW w:w="2126" w:type="dxa"/>
            <w:vAlign w:val="center"/>
          </w:tcPr>
          <w:p w14:paraId="2EFAA23D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0.49 (0.37–0.64)</w:t>
            </w:r>
          </w:p>
        </w:tc>
        <w:tc>
          <w:tcPr>
            <w:tcW w:w="1828" w:type="dxa"/>
            <w:vAlign w:val="center"/>
          </w:tcPr>
          <w:p w14:paraId="602EB9BA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2A07" w:rsidRPr="00502A64" w14:paraId="2173DCC4" w14:textId="77777777" w:rsidTr="00F5423B">
        <w:tc>
          <w:tcPr>
            <w:tcW w:w="2638" w:type="dxa"/>
            <w:vAlign w:val="center"/>
          </w:tcPr>
          <w:p w14:paraId="10F5090D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Rituximab</w:t>
            </w:r>
          </w:p>
        </w:tc>
        <w:tc>
          <w:tcPr>
            <w:tcW w:w="2161" w:type="dxa"/>
            <w:vAlign w:val="center"/>
          </w:tcPr>
          <w:p w14:paraId="2368E1C2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Treatment-related</w:t>
            </w:r>
          </w:p>
        </w:tc>
        <w:tc>
          <w:tcPr>
            <w:tcW w:w="3423" w:type="dxa"/>
            <w:vAlign w:val="center"/>
          </w:tcPr>
          <w:p w14:paraId="09A9A57F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Yes vs no</w:t>
            </w:r>
          </w:p>
        </w:tc>
        <w:tc>
          <w:tcPr>
            <w:tcW w:w="2126" w:type="dxa"/>
            <w:vAlign w:val="center"/>
          </w:tcPr>
          <w:p w14:paraId="4C3EC0B1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1.03 (0.25–4.91)</w:t>
            </w:r>
          </w:p>
        </w:tc>
        <w:tc>
          <w:tcPr>
            <w:tcW w:w="1134" w:type="dxa"/>
          </w:tcPr>
          <w:p w14:paraId="1E73320D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0.97</w:t>
            </w:r>
          </w:p>
        </w:tc>
        <w:tc>
          <w:tcPr>
            <w:tcW w:w="2126" w:type="dxa"/>
            <w:vAlign w:val="center"/>
          </w:tcPr>
          <w:p w14:paraId="4453D7D7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0.51 (0.36–0.65)</w:t>
            </w:r>
          </w:p>
        </w:tc>
        <w:tc>
          <w:tcPr>
            <w:tcW w:w="1828" w:type="dxa"/>
            <w:vAlign w:val="center"/>
          </w:tcPr>
          <w:p w14:paraId="5F8C3902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2A07" w:rsidRPr="00502A64" w14:paraId="6BCD9207" w14:textId="77777777" w:rsidTr="00F5423B">
        <w:tc>
          <w:tcPr>
            <w:tcW w:w="2638" w:type="dxa"/>
            <w:vAlign w:val="center"/>
          </w:tcPr>
          <w:p w14:paraId="74E91947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Baseline mRS</w:t>
            </w:r>
          </w:p>
        </w:tc>
        <w:tc>
          <w:tcPr>
            <w:tcW w:w="2161" w:type="dxa"/>
            <w:vAlign w:val="center"/>
          </w:tcPr>
          <w:p w14:paraId="2D7B9CF9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Patient-related</w:t>
            </w:r>
          </w:p>
        </w:tc>
        <w:tc>
          <w:tcPr>
            <w:tcW w:w="3423" w:type="dxa"/>
            <w:vAlign w:val="center"/>
          </w:tcPr>
          <w:p w14:paraId="7A41D0C0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Per 1-point increase</w:t>
            </w:r>
          </w:p>
        </w:tc>
        <w:tc>
          <w:tcPr>
            <w:tcW w:w="2126" w:type="dxa"/>
            <w:vAlign w:val="center"/>
          </w:tcPr>
          <w:p w14:paraId="49F23CDA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0.95 (0.46–2.05)</w:t>
            </w:r>
          </w:p>
        </w:tc>
        <w:tc>
          <w:tcPr>
            <w:tcW w:w="1134" w:type="dxa"/>
          </w:tcPr>
          <w:p w14:paraId="6D154EA2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0.88</w:t>
            </w:r>
          </w:p>
        </w:tc>
        <w:tc>
          <w:tcPr>
            <w:tcW w:w="2126" w:type="dxa"/>
            <w:vAlign w:val="center"/>
          </w:tcPr>
          <w:p w14:paraId="65769C14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0.53 (0.33–0.72)</w:t>
            </w:r>
          </w:p>
        </w:tc>
        <w:tc>
          <w:tcPr>
            <w:tcW w:w="1828" w:type="dxa"/>
            <w:vAlign w:val="center"/>
          </w:tcPr>
          <w:p w14:paraId="124E9598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2A07" w:rsidRPr="00502A64" w14:paraId="756BA788" w14:textId="77777777" w:rsidTr="00F5423B">
        <w:tc>
          <w:tcPr>
            <w:tcW w:w="2638" w:type="dxa"/>
            <w:vAlign w:val="center"/>
          </w:tcPr>
          <w:p w14:paraId="4867FE05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Age at onset</w:t>
            </w:r>
          </w:p>
        </w:tc>
        <w:tc>
          <w:tcPr>
            <w:tcW w:w="2161" w:type="dxa"/>
            <w:vAlign w:val="center"/>
          </w:tcPr>
          <w:p w14:paraId="5888D9CF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Patient-related</w:t>
            </w:r>
          </w:p>
        </w:tc>
        <w:tc>
          <w:tcPr>
            <w:tcW w:w="3423" w:type="dxa"/>
            <w:vAlign w:val="center"/>
          </w:tcPr>
          <w:p w14:paraId="1518CBCB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Per 1-SD increase (z-standardized)</w:t>
            </w:r>
          </w:p>
        </w:tc>
        <w:tc>
          <w:tcPr>
            <w:tcW w:w="2126" w:type="dxa"/>
            <w:vAlign w:val="center"/>
          </w:tcPr>
          <w:p w14:paraId="734EEC4E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0.84 (0.37–1.61)</w:t>
            </w:r>
          </w:p>
        </w:tc>
        <w:tc>
          <w:tcPr>
            <w:tcW w:w="1134" w:type="dxa"/>
          </w:tcPr>
          <w:p w14:paraId="35CC6A11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0.61</w:t>
            </w:r>
          </w:p>
        </w:tc>
        <w:tc>
          <w:tcPr>
            <w:tcW w:w="2126" w:type="dxa"/>
            <w:vAlign w:val="center"/>
          </w:tcPr>
          <w:p w14:paraId="7E0DE038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0.57 (0.37–0.79)</w:t>
            </w:r>
          </w:p>
        </w:tc>
        <w:tc>
          <w:tcPr>
            <w:tcW w:w="1828" w:type="dxa"/>
            <w:vAlign w:val="center"/>
          </w:tcPr>
          <w:p w14:paraId="755FC092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SD = 13.12 years</w:t>
            </w:r>
          </w:p>
        </w:tc>
      </w:tr>
      <w:tr w:rsidR="00BD2A07" w:rsidRPr="00502A64" w14:paraId="6E1D37D4" w14:textId="77777777" w:rsidTr="00F5423B">
        <w:tc>
          <w:tcPr>
            <w:tcW w:w="2638" w:type="dxa"/>
            <w:vAlign w:val="center"/>
          </w:tcPr>
          <w:p w14:paraId="3E070E68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IVIg</w:t>
            </w:r>
          </w:p>
        </w:tc>
        <w:tc>
          <w:tcPr>
            <w:tcW w:w="2161" w:type="dxa"/>
            <w:vAlign w:val="center"/>
          </w:tcPr>
          <w:p w14:paraId="2FC08B51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Treatment-related</w:t>
            </w:r>
          </w:p>
        </w:tc>
        <w:tc>
          <w:tcPr>
            <w:tcW w:w="3423" w:type="dxa"/>
            <w:vAlign w:val="center"/>
          </w:tcPr>
          <w:p w14:paraId="08AD6C9C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Yes vs no</w:t>
            </w:r>
          </w:p>
        </w:tc>
        <w:tc>
          <w:tcPr>
            <w:tcW w:w="2126" w:type="dxa"/>
            <w:vAlign w:val="center"/>
          </w:tcPr>
          <w:p w14:paraId="002C4969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0.47 (0.05–2.57)</w:t>
            </w:r>
          </w:p>
        </w:tc>
        <w:tc>
          <w:tcPr>
            <w:tcW w:w="1134" w:type="dxa"/>
          </w:tcPr>
          <w:p w14:paraId="3E08DF1E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0.41</w:t>
            </w:r>
          </w:p>
        </w:tc>
        <w:tc>
          <w:tcPr>
            <w:tcW w:w="2126" w:type="dxa"/>
            <w:vAlign w:val="center"/>
          </w:tcPr>
          <w:p w14:paraId="75644E8C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0.57 (0.44–0.68)</w:t>
            </w:r>
          </w:p>
        </w:tc>
        <w:tc>
          <w:tcPr>
            <w:tcW w:w="1828" w:type="dxa"/>
            <w:vAlign w:val="center"/>
          </w:tcPr>
          <w:p w14:paraId="2426587B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2A07" w:rsidRPr="00502A64" w14:paraId="39EF0B5E" w14:textId="77777777" w:rsidTr="00F5423B">
        <w:tc>
          <w:tcPr>
            <w:tcW w:w="2638" w:type="dxa"/>
            <w:vAlign w:val="center"/>
          </w:tcPr>
          <w:p w14:paraId="71F3B55A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Plasma exchange</w:t>
            </w:r>
          </w:p>
        </w:tc>
        <w:tc>
          <w:tcPr>
            <w:tcW w:w="2161" w:type="dxa"/>
            <w:vAlign w:val="center"/>
          </w:tcPr>
          <w:p w14:paraId="2D8128EB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Treatment-related</w:t>
            </w:r>
          </w:p>
        </w:tc>
        <w:tc>
          <w:tcPr>
            <w:tcW w:w="3423" w:type="dxa"/>
            <w:vAlign w:val="center"/>
          </w:tcPr>
          <w:p w14:paraId="4F0B9683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Yes vs no</w:t>
            </w:r>
          </w:p>
        </w:tc>
        <w:tc>
          <w:tcPr>
            <w:tcW w:w="2126" w:type="dxa"/>
            <w:vAlign w:val="center"/>
          </w:tcPr>
          <w:p w14:paraId="0A9A02F3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0.34 (0.03–4.59)</w:t>
            </w:r>
          </w:p>
        </w:tc>
        <w:tc>
          <w:tcPr>
            <w:tcW w:w="1134" w:type="dxa"/>
          </w:tcPr>
          <w:p w14:paraId="516FD235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0.39</w:t>
            </w:r>
          </w:p>
        </w:tc>
        <w:tc>
          <w:tcPr>
            <w:tcW w:w="2126" w:type="dxa"/>
            <w:vAlign w:val="center"/>
          </w:tcPr>
          <w:p w14:paraId="49E0225B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0.53 (0.47–0.64)</w:t>
            </w:r>
          </w:p>
        </w:tc>
        <w:tc>
          <w:tcPr>
            <w:tcW w:w="1828" w:type="dxa"/>
            <w:vAlign w:val="center"/>
          </w:tcPr>
          <w:p w14:paraId="3692D480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2A07" w:rsidRPr="00502A64" w14:paraId="265243C5" w14:textId="77777777" w:rsidTr="00F5423B">
        <w:tc>
          <w:tcPr>
            <w:tcW w:w="2638" w:type="dxa"/>
            <w:vAlign w:val="center"/>
          </w:tcPr>
          <w:p w14:paraId="2293D8F6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Cyclophosphamide</w:t>
            </w:r>
          </w:p>
        </w:tc>
        <w:tc>
          <w:tcPr>
            <w:tcW w:w="2161" w:type="dxa"/>
            <w:vAlign w:val="center"/>
          </w:tcPr>
          <w:p w14:paraId="1CF7179B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Treatment-related</w:t>
            </w:r>
          </w:p>
        </w:tc>
        <w:tc>
          <w:tcPr>
            <w:tcW w:w="3423" w:type="dxa"/>
            <w:vAlign w:val="center"/>
          </w:tcPr>
          <w:p w14:paraId="4E515EAA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Yes vs no</w:t>
            </w:r>
          </w:p>
        </w:tc>
        <w:tc>
          <w:tcPr>
            <w:tcW w:w="2126" w:type="dxa"/>
            <w:vAlign w:val="center"/>
          </w:tcPr>
          <w:p w14:paraId="22A972EE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0.15 (0.03–0.61)</w:t>
            </w:r>
          </w:p>
        </w:tc>
        <w:tc>
          <w:tcPr>
            <w:tcW w:w="1134" w:type="dxa"/>
          </w:tcPr>
          <w:p w14:paraId="59AADFC3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0.007</w:t>
            </w:r>
          </w:p>
        </w:tc>
        <w:tc>
          <w:tcPr>
            <w:tcW w:w="2126" w:type="dxa"/>
            <w:vAlign w:val="center"/>
          </w:tcPr>
          <w:p w14:paraId="0B572ABD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0.73 (0.58–0.87)</w:t>
            </w:r>
          </w:p>
        </w:tc>
        <w:tc>
          <w:tcPr>
            <w:tcW w:w="1828" w:type="dxa"/>
            <w:vAlign w:val="center"/>
          </w:tcPr>
          <w:p w14:paraId="2A0F418B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3CFEA0FA" w14:textId="77777777" w:rsidR="00BD2A07" w:rsidRPr="00502A64" w:rsidRDefault="00BD2A07" w:rsidP="00BD2A0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F726A72" w14:textId="77777777" w:rsidR="00BD2A07" w:rsidRPr="00502A64" w:rsidRDefault="00BD2A07" w:rsidP="00BD2A0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36A3FCD" w14:textId="77777777" w:rsidR="00BD2A07" w:rsidRPr="00502A64" w:rsidRDefault="00BD2A07" w:rsidP="00BD2A0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E1E71A5" w14:textId="77777777" w:rsidR="00BD2A07" w:rsidRPr="00502A64" w:rsidRDefault="00BD2A07" w:rsidP="00BD2A0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0FA7612" w14:textId="77777777" w:rsidR="00BD2A07" w:rsidRPr="00502A64" w:rsidRDefault="00BD2A07" w:rsidP="00BD2A0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390740B" w14:textId="77777777" w:rsidR="00BD2A07" w:rsidRPr="00502A64" w:rsidRDefault="00BD2A07" w:rsidP="00BD2A0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7C0AC3A" w14:textId="77777777" w:rsidR="00BD2A07" w:rsidRPr="00502A64" w:rsidRDefault="00BD2A07" w:rsidP="00BD2A0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59C0BED" w14:textId="77777777" w:rsidR="00BD2A07" w:rsidRPr="00502A64" w:rsidRDefault="00BD2A07" w:rsidP="00BD2A0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02A64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Supplementary table 2. Univariable Firth-penalised logistic regressions for sustained remission (t</w:t>
      </w:r>
      <w:r w:rsidRPr="00502A64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GB"/>
        </w:rPr>
        <w:t>R2</w:t>
      </w:r>
      <w:r w:rsidRPr="00502A64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14:paraId="7E8281A6" w14:textId="77777777" w:rsidR="00BD2A07" w:rsidRPr="00D261D2" w:rsidRDefault="00BD2A07" w:rsidP="00BD2A07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02A64">
        <w:rPr>
          <w:rFonts w:ascii="Times New Roman" w:hAnsi="Times New Roman" w:cs="Times New Roman"/>
          <w:sz w:val="24"/>
          <w:szCs w:val="24"/>
          <w:lang w:val="en-GB"/>
        </w:rPr>
        <w:t>Supplementary table 2 legend: Univariable Firth-penalised logistic regression models assessing the association between each patient- and treatment-related variable and sustained remission (t</w:t>
      </w:r>
      <w:r w:rsidRPr="00502A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R2</w:t>
      </w:r>
      <w:r w:rsidRPr="00502A64">
        <w:rPr>
          <w:rFonts w:ascii="Times New Roman" w:hAnsi="Times New Roman" w:cs="Times New Roman"/>
          <w:sz w:val="24"/>
          <w:szCs w:val="24"/>
          <w:lang w:val="en-GB"/>
        </w:rPr>
        <w:t>, 6 months after complete discontinuation of immunotherapy). Continuous variables (age and delay to immunotherapy) were z-standardised (mean-centred and scaled by their sample standard deviation). ORs &gt; 1 indicate higher odds of sustained remission. Owing to the very small number of non-remitters (4/39), all estimates should be interpreted cautiously; several 95% CIs are wide and include 1.0.</w:t>
      </w:r>
    </w:p>
    <w:p w14:paraId="6FB4B590" w14:textId="77777777" w:rsidR="00BD2A07" w:rsidRPr="00502A64" w:rsidRDefault="00BD2A07" w:rsidP="00BD2A07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Style w:val="TableGrid"/>
        <w:tblpPr w:leftFromText="141" w:rightFromText="141" w:vertAnchor="text" w:horzAnchor="margin" w:tblpXSpec="center" w:tblpY="360"/>
        <w:tblW w:w="16013" w:type="dxa"/>
        <w:tblLook w:val="04A0" w:firstRow="1" w:lastRow="0" w:firstColumn="1" w:lastColumn="0" w:noHBand="0" w:noVBand="1"/>
      </w:tblPr>
      <w:tblGrid>
        <w:gridCol w:w="2687"/>
        <w:gridCol w:w="2275"/>
        <w:gridCol w:w="3397"/>
        <w:gridCol w:w="2693"/>
        <w:gridCol w:w="1276"/>
        <w:gridCol w:w="1842"/>
        <w:gridCol w:w="1843"/>
      </w:tblGrid>
      <w:tr w:rsidR="00BD2A07" w:rsidRPr="00502A64" w14:paraId="715D2FF8" w14:textId="77777777" w:rsidTr="00F5423B">
        <w:tc>
          <w:tcPr>
            <w:tcW w:w="2687" w:type="dxa"/>
            <w:vAlign w:val="center"/>
          </w:tcPr>
          <w:p w14:paraId="02A643B0" w14:textId="77777777" w:rsidR="00BD2A07" w:rsidRPr="00502A64" w:rsidRDefault="00BD2A07" w:rsidP="00F5423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02A64">
              <w:rPr>
                <w:rFonts w:ascii="Times New Roman" w:hAnsi="Times New Roman" w:cs="Times New Roman"/>
                <w:b/>
                <w:bCs/>
                <w:lang w:val="en-GB"/>
              </w:rPr>
              <w:t>Predictor</w:t>
            </w:r>
          </w:p>
        </w:tc>
        <w:tc>
          <w:tcPr>
            <w:tcW w:w="2275" w:type="dxa"/>
            <w:vAlign w:val="center"/>
          </w:tcPr>
          <w:p w14:paraId="3F7F597B" w14:textId="77777777" w:rsidR="00BD2A07" w:rsidRPr="00502A64" w:rsidRDefault="00BD2A07" w:rsidP="00F5423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02A64">
              <w:rPr>
                <w:rFonts w:ascii="Times New Roman" w:hAnsi="Times New Roman" w:cs="Times New Roman"/>
                <w:b/>
                <w:bCs/>
                <w:lang w:val="en-GB"/>
              </w:rPr>
              <w:t>Category</w:t>
            </w:r>
          </w:p>
        </w:tc>
        <w:tc>
          <w:tcPr>
            <w:tcW w:w="3397" w:type="dxa"/>
            <w:vAlign w:val="center"/>
          </w:tcPr>
          <w:p w14:paraId="1398936A" w14:textId="77777777" w:rsidR="00BD2A07" w:rsidRPr="00502A64" w:rsidRDefault="00BD2A07" w:rsidP="00F5423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02A64">
              <w:rPr>
                <w:rFonts w:ascii="Times New Roman" w:hAnsi="Times New Roman" w:cs="Times New Roman"/>
                <w:b/>
                <w:bCs/>
                <w:lang w:val="en-GB"/>
              </w:rPr>
              <w:t>Coding / Unit</w:t>
            </w:r>
          </w:p>
        </w:tc>
        <w:tc>
          <w:tcPr>
            <w:tcW w:w="2693" w:type="dxa"/>
            <w:vAlign w:val="center"/>
          </w:tcPr>
          <w:p w14:paraId="5F5BF7D0" w14:textId="77777777" w:rsidR="00BD2A07" w:rsidRPr="00502A64" w:rsidRDefault="00BD2A07" w:rsidP="00F5423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02A64">
              <w:rPr>
                <w:rFonts w:ascii="Times New Roman" w:hAnsi="Times New Roman" w:cs="Times New Roman"/>
                <w:b/>
                <w:bCs/>
                <w:lang w:val="en-GB"/>
              </w:rPr>
              <w:t>OR (95% CI)</w:t>
            </w:r>
          </w:p>
        </w:tc>
        <w:tc>
          <w:tcPr>
            <w:tcW w:w="1276" w:type="dxa"/>
          </w:tcPr>
          <w:p w14:paraId="663ECA24" w14:textId="77777777" w:rsidR="00BD2A07" w:rsidRPr="00502A64" w:rsidRDefault="00BD2A07" w:rsidP="00F5423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02A64">
              <w:rPr>
                <w:rFonts w:ascii="Times New Roman" w:hAnsi="Times New Roman" w:cs="Times New Roman"/>
                <w:b/>
                <w:bCs/>
                <w:lang w:val="en-GB"/>
              </w:rPr>
              <w:t>p-values</w:t>
            </w:r>
          </w:p>
        </w:tc>
        <w:tc>
          <w:tcPr>
            <w:tcW w:w="1842" w:type="dxa"/>
            <w:vAlign w:val="center"/>
          </w:tcPr>
          <w:p w14:paraId="11DDB048" w14:textId="77777777" w:rsidR="00BD2A07" w:rsidRPr="00502A64" w:rsidRDefault="00BD2A07" w:rsidP="00F5423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02A64">
              <w:rPr>
                <w:rFonts w:ascii="Times New Roman" w:hAnsi="Times New Roman" w:cs="Times New Roman"/>
                <w:b/>
                <w:bCs/>
                <w:lang w:val="en-GB"/>
              </w:rPr>
              <w:t>AUC (95% CI)</w:t>
            </w:r>
          </w:p>
        </w:tc>
        <w:tc>
          <w:tcPr>
            <w:tcW w:w="1843" w:type="dxa"/>
            <w:vAlign w:val="center"/>
          </w:tcPr>
          <w:p w14:paraId="00C06E89" w14:textId="77777777" w:rsidR="00BD2A07" w:rsidRPr="00502A64" w:rsidRDefault="00BD2A07" w:rsidP="00F5423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02A64">
              <w:rPr>
                <w:rFonts w:ascii="Times New Roman" w:hAnsi="Times New Roman" w:cs="Times New Roman"/>
                <w:b/>
                <w:bCs/>
                <w:lang w:val="en-GB"/>
              </w:rPr>
              <w:t>Comment</w:t>
            </w:r>
          </w:p>
        </w:tc>
      </w:tr>
      <w:tr w:rsidR="00BD2A07" w:rsidRPr="00502A64" w14:paraId="027FFA6D" w14:textId="77777777" w:rsidTr="00F5423B">
        <w:tc>
          <w:tcPr>
            <w:tcW w:w="2687" w:type="dxa"/>
            <w:vAlign w:val="center"/>
          </w:tcPr>
          <w:p w14:paraId="1F0631C3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Gender</w:t>
            </w:r>
          </w:p>
        </w:tc>
        <w:tc>
          <w:tcPr>
            <w:tcW w:w="2275" w:type="dxa"/>
            <w:vAlign w:val="center"/>
          </w:tcPr>
          <w:p w14:paraId="4BAFBDD0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Patient-related</w:t>
            </w:r>
          </w:p>
        </w:tc>
        <w:tc>
          <w:tcPr>
            <w:tcW w:w="3397" w:type="dxa"/>
            <w:vAlign w:val="center"/>
          </w:tcPr>
          <w:p w14:paraId="3011A257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Male vs female</w:t>
            </w:r>
          </w:p>
        </w:tc>
        <w:tc>
          <w:tcPr>
            <w:tcW w:w="2693" w:type="dxa"/>
            <w:vAlign w:val="center"/>
          </w:tcPr>
          <w:p w14:paraId="2F8DABEA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4.97 (0.72–55.79)</w:t>
            </w:r>
          </w:p>
        </w:tc>
        <w:tc>
          <w:tcPr>
            <w:tcW w:w="1276" w:type="dxa"/>
          </w:tcPr>
          <w:p w14:paraId="6908EE59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0.1</w:t>
            </w:r>
          </w:p>
        </w:tc>
        <w:tc>
          <w:tcPr>
            <w:tcW w:w="1842" w:type="dxa"/>
            <w:vAlign w:val="center"/>
          </w:tcPr>
          <w:p w14:paraId="16ACAAF8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0.72 (0.45–0.90)</w:t>
            </w:r>
          </w:p>
        </w:tc>
        <w:tc>
          <w:tcPr>
            <w:tcW w:w="1843" w:type="dxa"/>
            <w:vAlign w:val="center"/>
          </w:tcPr>
          <w:p w14:paraId="7927AF60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2A07" w:rsidRPr="00502A64" w14:paraId="2E12D3EA" w14:textId="77777777" w:rsidTr="00F5423B">
        <w:tc>
          <w:tcPr>
            <w:tcW w:w="2687" w:type="dxa"/>
            <w:vAlign w:val="center"/>
          </w:tcPr>
          <w:p w14:paraId="02B6E784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Corticosteroid bolus</w:t>
            </w:r>
          </w:p>
        </w:tc>
        <w:tc>
          <w:tcPr>
            <w:tcW w:w="2275" w:type="dxa"/>
            <w:vAlign w:val="center"/>
          </w:tcPr>
          <w:p w14:paraId="3DDC641C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Treatment-related</w:t>
            </w:r>
          </w:p>
        </w:tc>
        <w:tc>
          <w:tcPr>
            <w:tcW w:w="3397" w:type="dxa"/>
            <w:vAlign w:val="center"/>
          </w:tcPr>
          <w:p w14:paraId="4AF956A4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Yes vs no</w:t>
            </w:r>
          </w:p>
        </w:tc>
        <w:tc>
          <w:tcPr>
            <w:tcW w:w="2693" w:type="dxa"/>
            <w:vAlign w:val="center"/>
          </w:tcPr>
          <w:p w14:paraId="5A7DA6EC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2.76 (0.40–30.59)</w:t>
            </w:r>
          </w:p>
        </w:tc>
        <w:tc>
          <w:tcPr>
            <w:tcW w:w="1276" w:type="dxa"/>
          </w:tcPr>
          <w:p w14:paraId="2179814E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0.31</w:t>
            </w:r>
          </w:p>
        </w:tc>
        <w:tc>
          <w:tcPr>
            <w:tcW w:w="1842" w:type="dxa"/>
            <w:vAlign w:val="center"/>
          </w:tcPr>
          <w:p w14:paraId="4D625172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0.65 (0.40–0.83)</w:t>
            </w:r>
          </w:p>
        </w:tc>
        <w:tc>
          <w:tcPr>
            <w:tcW w:w="1843" w:type="dxa"/>
            <w:vAlign w:val="center"/>
          </w:tcPr>
          <w:p w14:paraId="4FDB6086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2A07" w:rsidRPr="00502A64" w14:paraId="077C7F84" w14:textId="77777777" w:rsidTr="00F5423B">
        <w:tc>
          <w:tcPr>
            <w:tcW w:w="2687" w:type="dxa"/>
            <w:vAlign w:val="center"/>
          </w:tcPr>
          <w:p w14:paraId="23588CAE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Any corticosteroids</w:t>
            </w:r>
          </w:p>
        </w:tc>
        <w:tc>
          <w:tcPr>
            <w:tcW w:w="2275" w:type="dxa"/>
            <w:vAlign w:val="center"/>
          </w:tcPr>
          <w:p w14:paraId="1719AC6E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Treatment-related</w:t>
            </w:r>
          </w:p>
        </w:tc>
        <w:tc>
          <w:tcPr>
            <w:tcW w:w="3397" w:type="dxa"/>
            <w:vAlign w:val="center"/>
          </w:tcPr>
          <w:p w14:paraId="4EF8BACC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Yes vs no</w:t>
            </w:r>
          </w:p>
        </w:tc>
        <w:tc>
          <w:tcPr>
            <w:tcW w:w="2693" w:type="dxa"/>
            <w:vAlign w:val="center"/>
          </w:tcPr>
          <w:p w14:paraId="3722FED9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1.95 (0.17–14.52)</w:t>
            </w:r>
          </w:p>
        </w:tc>
        <w:tc>
          <w:tcPr>
            <w:tcW w:w="1276" w:type="dxa"/>
          </w:tcPr>
          <w:p w14:paraId="5497A365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0.55</w:t>
            </w:r>
          </w:p>
        </w:tc>
        <w:tc>
          <w:tcPr>
            <w:tcW w:w="1842" w:type="dxa"/>
            <w:vAlign w:val="center"/>
          </w:tcPr>
          <w:p w14:paraId="58644E5B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0.54 (0.37–0.79)</w:t>
            </w:r>
          </w:p>
        </w:tc>
        <w:tc>
          <w:tcPr>
            <w:tcW w:w="1843" w:type="dxa"/>
            <w:vAlign w:val="center"/>
          </w:tcPr>
          <w:p w14:paraId="1B1ECBC8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2A07" w:rsidRPr="00502A64" w14:paraId="39C1D199" w14:textId="77777777" w:rsidTr="00F5423B">
        <w:tc>
          <w:tcPr>
            <w:tcW w:w="2687" w:type="dxa"/>
            <w:vAlign w:val="center"/>
          </w:tcPr>
          <w:p w14:paraId="4E34A5D9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IVIg</w:t>
            </w:r>
          </w:p>
        </w:tc>
        <w:tc>
          <w:tcPr>
            <w:tcW w:w="2275" w:type="dxa"/>
            <w:vAlign w:val="center"/>
          </w:tcPr>
          <w:p w14:paraId="54CB46D4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Treatment-related</w:t>
            </w:r>
          </w:p>
        </w:tc>
        <w:tc>
          <w:tcPr>
            <w:tcW w:w="3397" w:type="dxa"/>
            <w:vAlign w:val="center"/>
          </w:tcPr>
          <w:p w14:paraId="15691A6B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Yes vs no</w:t>
            </w:r>
          </w:p>
        </w:tc>
        <w:tc>
          <w:tcPr>
            <w:tcW w:w="2693" w:type="dxa"/>
            <w:vAlign w:val="center"/>
          </w:tcPr>
          <w:p w14:paraId="7C2747D2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1.95 (0.17–14.52)</w:t>
            </w:r>
          </w:p>
        </w:tc>
        <w:tc>
          <w:tcPr>
            <w:tcW w:w="1276" w:type="dxa"/>
          </w:tcPr>
          <w:p w14:paraId="09FB3209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0.55</w:t>
            </w:r>
          </w:p>
        </w:tc>
        <w:tc>
          <w:tcPr>
            <w:tcW w:w="1842" w:type="dxa"/>
            <w:vAlign w:val="center"/>
          </w:tcPr>
          <w:p w14:paraId="04BB48BB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0.54 (0.37–0.78)</w:t>
            </w:r>
          </w:p>
        </w:tc>
        <w:tc>
          <w:tcPr>
            <w:tcW w:w="1843" w:type="dxa"/>
            <w:vAlign w:val="center"/>
          </w:tcPr>
          <w:p w14:paraId="1FE1F006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2A07" w:rsidRPr="00502A64" w14:paraId="4CEF7DA6" w14:textId="77777777" w:rsidTr="00F5423B">
        <w:tc>
          <w:tcPr>
            <w:tcW w:w="2687" w:type="dxa"/>
            <w:vAlign w:val="center"/>
          </w:tcPr>
          <w:p w14:paraId="5B92B5FE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Baseline mRS</w:t>
            </w:r>
          </w:p>
        </w:tc>
        <w:tc>
          <w:tcPr>
            <w:tcW w:w="2275" w:type="dxa"/>
            <w:vAlign w:val="center"/>
          </w:tcPr>
          <w:p w14:paraId="265CC231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Patient-related</w:t>
            </w:r>
          </w:p>
        </w:tc>
        <w:tc>
          <w:tcPr>
            <w:tcW w:w="3397" w:type="dxa"/>
            <w:vAlign w:val="center"/>
          </w:tcPr>
          <w:p w14:paraId="4F92A160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Per 1-point increase</w:t>
            </w:r>
          </w:p>
        </w:tc>
        <w:tc>
          <w:tcPr>
            <w:tcW w:w="2693" w:type="dxa"/>
            <w:vAlign w:val="center"/>
          </w:tcPr>
          <w:p w14:paraId="4745B5F8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1.82 (0.58–8.03)</w:t>
            </w:r>
          </w:p>
        </w:tc>
        <w:tc>
          <w:tcPr>
            <w:tcW w:w="1276" w:type="dxa"/>
          </w:tcPr>
          <w:p w14:paraId="5862B99E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0.34</w:t>
            </w:r>
          </w:p>
        </w:tc>
        <w:tc>
          <w:tcPr>
            <w:tcW w:w="1842" w:type="dxa"/>
            <w:vAlign w:val="center"/>
          </w:tcPr>
          <w:p w14:paraId="5E77CA06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0.66 (0.44–0.87)</w:t>
            </w:r>
          </w:p>
        </w:tc>
        <w:tc>
          <w:tcPr>
            <w:tcW w:w="1843" w:type="dxa"/>
            <w:vAlign w:val="center"/>
          </w:tcPr>
          <w:p w14:paraId="348E2A09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2A07" w:rsidRPr="00502A64" w14:paraId="4F8D5FFC" w14:textId="77777777" w:rsidTr="00F5423B">
        <w:tc>
          <w:tcPr>
            <w:tcW w:w="2687" w:type="dxa"/>
            <w:vAlign w:val="center"/>
          </w:tcPr>
          <w:p w14:paraId="1AB4361A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Full corticosteroid protocol</w:t>
            </w:r>
          </w:p>
        </w:tc>
        <w:tc>
          <w:tcPr>
            <w:tcW w:w="2275" w:type="dxa"/>
            <w:vAlign w:val="center"/>
          </w:tcPr>
          <w:p w14:paraId="0E8C5366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Treatment-related</w:t>
            </w:r>
          </w:p>
        </w:tc>
        <w:tc>
          <w:tcPr>
            <w:tcW w:w="3397" w:type="dxa"/>
            <w:vAlign w:val="center"/>
          </w:tcPr>
          <w:p w14:paraId="38681C43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Yes vs no</w:t>
            </w:r>
          </w:p>
        </w:tc>
        <w:tc>
          <w:tcPr>
            <w:tcW w:w="2693" w:type="dxa"/>
            <w:vAlign w:val="center"/>
          </w:tcPr>
          <w:p w14:paraId="0D1116A0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1.76 (0.26–19.58)</w:t>
            </w:r>
          </w:p>
        </w:tc>
        <w:tc>
          <w:tcPr>
            <w:tcW w:w="1276" w:type="dxa"/>
          </w:tcPr>
          <w:p w14:paraId="639DBB42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0.57</w:t>
            </w:r>
          </w:p>
        </w:tc>
        <w:tc>
          <w:tcPr>
            <w:tcW w:w="1842" w:type="dxa"/>
            <w:vAlign w:val="center"/>
          </w:tcPr>
          <w:p w14:paraId="3525C997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0.59 (0.34–0.77)</w:t>
            </w:r>
          </w:p>
        </w:tc>
        <w:tc>
          <w:tcPr>
            <w:tcW w:w="1843" w:type="dxa"/>
            <w:vAlign w:val="center"/>
          </w:tcPr>
          <w:p w14:paraId="05B36DF1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2A07" w:rsidRPr="00502A64" w14:paraId="72EBBEB6" w14:textId="77777777" w:rsidTr="00F5423B">
        <w:tc>
          <w:tcPr>
            <w:tcW w:w="2687" w:type="dxa"/>
            <w:vAlign w:val="center"/>
          </w:tcPr>
          <w:p w14:paraId="7DA8318B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Delay to immunotherapy</w:t>
            </w:r>
          </w:p>
        </w:tc>
        <w:tc>
          <w:tcPr>
            <w:tcW w:w="2275" w:type="dxa"/>
            <w:vAlign w:val="center"/>
          </w:tcPr>
          <w:p w14:paraId="38818A06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Treatment-related</w:t>
            </w:r>
          </w:p>
        </w:tc>
        <w:tc>
          <w:tcPr>
            <w:tcW w:w="3397" w:type="dxa"/>
            <w:vAlign w:val="center"/>
          </w:tcPr>
          <w:p w14:paraId="5C98CAA4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Per 1-SD increase (z-standardi</w:t>
            </w:r>
            <w:r>
              <w:rPr>
                <w:rFonts w:ascii="Times New Roman" w:hAnsi="Times New Roman" w:cs="Times New Roman"/>
                <w:lang w:val="en-GB"/>
              </w:rPr>
              <w:t>s</w:t>
            </w:r>
            <w:r w:rsidRPr="00502A64">
              <w:rPr>
                <w:rFonts w:ascii="Times New Roman" w:hAnsi="Times New Roman" w:cs="Times New Roman"/>
                <w:lang w:val="en-GB"/>
              </w:rPr>
              <w:t>ed)</w:t>
            </w:r>
          </w:p>
        </w:tc>
        <w:tc>
          <w:tcPr>
            <w:tcW w:w="2693" w:type="dxa"/>
            <w:vAlign w:val="center"/>
          </w:tcPr>
          <w:p w14:paraId="6CA2D3D6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1.40 (0.54–10.07)</w:t>
            </w:r>
          </w:p>
        </w:tc>
        <w:tc>
          <w:tcPr>
            <w:tcW w:w="1276" w:type="dxa"/>
          </w:tcPr>
          <w:p w14:paraId="3DA5A5EA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0.58</w:t>
            </w:r>
          </w:p>
        </w:tc>
        <w:tc>
          <w:tcPr>
            <w:tcW w:w="1842" w:type="dxa"/>
            <w:vAlign w:val="center"/>
          </w:tcPr>
          <w:p w14:paraId="16DACE83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0.63 (0.39–0.86)</w:t>
            </w:r>
          </w:p>
        </w:tc>
        <w:tc>
          <w:tcPr>
            <w:tcW w:w="1843" w:type="dxa"/>
            <w:vAlign w:val="center"/>
          </w:tcPr>
          <w:p w14:paraId="63313C86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SD = 4.45 months</w:t>
            </w:r>
          </w:p>
        </w:tc>
      </w:tr>
      <w:tr w:rsidR="00BD2A07" w:rsidRPr="00502A64" w14:paraId="67F20DFF" w14:textId="77777777" w:rsidTr="00F5423B">
        <w:tc>
          <w:tcPr>
            <w:tcW w:w="2687" w:type="dxa"/>
            <w:vAlign w:val="center"/>
          </w:tcPr>
          <w:p w14:paraId="59004ABF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Age at onset</w:t>
            </w:r>
          </w:p>
        </w:tc>
        <w:tc>
          <w:tcPr>
            <w:tcW w:w="2275" w:type="dxa"/>
            <w:vAlign w:val="center"/>
          </w:tcPr>
          <w:p w14:paraId="7B405A53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Patient-related</w:t>
            </w:r>
          </w:p>
        </w:tc>
        <w:tc>
          <w:tcPr>
            <w:tcW w:w="3397" w:type="dxa"/>
            <w:vAlign w:val="center"/>
          </w:tcPr>
          <w:p w14:paraId="6ED6134B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Per 1-SD increase (z-standardi</w:t>
            </w:r>
            <w:r>
              <w:rPr>
                <w:rFonts w:ascii="Times New Roman" w:hAnsi="Times New Roman" w:cs="Times New Roman"/>
                <w:lang w:val="en-GB"/>
              </w:rPr>
              <w:t>s</w:t>
            </w:r>
            <w:r w:rsidRPr="00502A64">
              <w:rPr>
                <w:rFonts w:ascii="Times New Roman" w:hAnsi="Times New Roman" w:cs="Times New Roman"/>
                <w:lang w:val="en-GB"/>
              </w:rPr>
              <w:t>ed)</w:t>
            </w:r>
          </w:p>
        </w:tc>
        <w:tc>
          <w:tcPr>
            <w:tcW w:w="2693" w:type="dxa"/>
            <w:vAlign w:val="center"/>
          </w:tcPr>
          <w:p w14:paraId="25AF08E0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1.21 (0.43–2.66)</w:t>
            </w:r>
          </w:p>
        </w:tc>
        <w:tc>
          <w:tcPr>
            <w:tcW w:w="1276" w:type="dxa"/>
          </w:tcPr>
          <w:p w14:paraId="46F4511E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0.67</w:t>
            </w:r>
          </w:p>
        </w:tc>
        <w:tc>
          <w:tcPr>
            <w:tcW w:w="1842" w:type="dxa"/>
            <w:vAlign w:val="center"/>
          </w:tcPr>
          <w:p w14:paraId="25D8BA46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0.55 (0.24–0.88)</w:t>
            </w:r>
          </w:p>
        </w:tc>
        <w:tc>
          <w:tcPr>
            <w:tcW w:w="1843" w:type="dxa"/>
            <w:vAlign w:val="center"/>
          </w:tcPr>
          <w:p w14:paraId="066EE91F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SD = 13.12 years</w:t>
            </w:r>
          </w:p>
        </w:tc>
      </w:tr>
      <w:tr w:rsidR="00BD2A07" w:rsidRPr="00502A64" w14:paraId="3BC69A6B" w14:textId="77777777" w:rsidTr="00F5423B">
        <w:tc>
          <w:tcPr>
            <w:tcW w:w="2687" w:type="dxa"/>
            <w:vAlign w:val="center"/>
          </w:tcPr>
          <w:p w14:paraId="4C0FD145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Oral corticosteroids</w:t>
            </w:r>
          </w:p>
        </w:tc>
        <w:tc>
          <w:tcPr>
            <w:tcW w:w="2275" w:type="dxa"/>
            <w:vAlign w:val="center"/>
          </w:tcPr>
          <w:p w14:paraId="15DC118C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Treatment-related</w:t>
            </w:r>
          </w:p>
        </w:tc>
        <w:tc>
          <w:tcPr>
            <w:tcW w:w="3397" w:type="dxa"/>
            <w:vAlign w:val="center"/>
          </w:tcPr>
          <w:p w14:paraId="3699D44B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Yes vs no</w:t>
            </w:r>
          </w:p>
        </w:tc>
        <w:tc>
          <w:tcPr>
            <w:tcW w:w="2693" w:type="dxa"/>
            <w:vAlign w:val="center"/>
          </w:tcPr>
          <w:p w14:paraId="46721012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0.91 (0.08–6.35)</w:t>
            </w:r>
          </w:p>
        </w:tc>
        <w:tc>
          <w:tcPr>
            <w:tcW w:w="1276" w:type="dxa"/>
          </w:tcPr>
          <w:p w14:paraId="20DF5FAD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0.93</w:t>
            </w:r>
          </w:p>
        </w:tc>
        <w:tc>
          <w:tcPr>
            <w:tcW w:w="1842" w:type="dxa"/>
            <w:vAlign w:val="center"/>
          </w:tcPr>
          <w:p w14:paraId="34664139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0.53 (0.28–0.71)</w:t>
            </w:r>
          </w:p>
        </w:tc>
        <w:tc>
          <w:tcPr>
            <w:tcW w:w="1843" w:type="dxa"/>
            <w:vAlign w:val="center"/>
          </w:tcPr>
          <w:p w14:paraId="51E0E539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2A07" w:rsidRPr="00502A64" w14:paraId="355F4A55" w14:textId="77777777" w:rsidTr="00F5423B">
        <w:tc>
          <w:tcPr>
            <w:tcW w:w="2687" w:type="dxa"/>
            <w:vAlign w:val="center"/>
          </w:tcPr>
          <w:p w14:paraId="4D1EC520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Rituximab</w:t>
            </w:r>
          </w:p>
        </w:tc>
        <w:tc>
          <w:tcPr>
            <w:tcW w:w="2275" w:type="dxa"/>
            <w:vAlign w:val="center"/>
          </w:tcPr>
          <w:p w14:paraId="307D36B1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Treatment-related</w:t>
            </w:r>
          </w:p>
        </w:tc>
        <w:tc>
          <w:tcPr>
            <w:tcW w:w="3397" w:type="dxa"/>
            <w:vAlign w:val="center"/>
          </w:tcPr>
          <w:p w14:paraId="4EA7E484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Yes vs no</w:t>
            </w:r>
          </w:p>
        </w:tc>
        <w:tc>
          <w:tcPr>
            <w:tcW w:w="2693" w:type="dxa"/>
            <w:vAlign w:val="center"/>
          </w:tcPr>
          <w:p w14:paraId="19F668FB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0.67 (0.09–4.84)</w:t>
            </w:r>
          </w:p>
        </w:tc>
        <w:tc>
          <w:tcPr>
            <w:tcW w:w="1276" w:type="dxa"/>
          </w:tcPr>
          <w:p w14:paraId="1D263489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0.68</w:t>
            </w:r>
          </w:p>
        </w:tc>
        <w:tc>
          <w:tcPr>
            <w:tcW w:w="1842" w:type="dxa"/>
            <w:vAlign w:val="center"/>
          </w:tcPr>
          <w:p w14:paraId="5DBA2CF5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0.55 (0.30–0.80)</w:t>
            </w:r>
          </w:p>
        </w:tc>
        <w:tc>
          <w:tcPr>
            <w:tcW w:w="1843" w:type="dxa"/>
            <w:vAlign w:val="center"/>
          </w:tcPr>
          <w:p w14:paraId="4A5B8DE4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2A07" w:rsidRPr="00502A64" w14:paraId="0405F2B2" w14:textId="77777777" w:rsidTr="00F5423B">
        <w:tc>
          <w:tcPr>
            <w:tcW w:w="2687" w:type="dxa"/>
            <w:vAlign w:val="center"/>
          </w:tcPr>
          <w:p w14:paraId="23B364F0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Plasma exchange</w:t>
            </w:r>
          </w:p>
        </w:tc>
        <w:tc>
          <w:tcPr>
            <w:tcW w:w="2275" w:type="dxa"/>
            <w:vAlign w:val="center"/>
          </w:tcPr>
          <w:p w14:paraId="34341EA9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Treatment-related</w:t>
            </w:r>
          </w:p>
        </w:tc>
        <w:tc>
          <w:tcPr>
            <w:tcW w:w="3397" w:type="dxa"/>
            <w:vAlign w:val="center"/>
          </w:tcPr>
          <w:p w14:paraId="4E88FA35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Yes vs no</w:t>
            </w:r>
          </w:p>
        </w:tc>
        <w:tc>
          <w:tcPr>
            <w:tcW w:w="2693" w:type="dxa"/>
            <w:vAlign w:val="center"/>
          </w:tcPr>
          <w:p w14:paraId="77F3A1A9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0.39 (0.02–60.65)</w:t>
            </w:r>
          </w:p>
        </w:tc>
        <w:tc>
          <w:tcPr>
            <w:tcW w:w="1276" w:type="dxa"/>
          </w:tcPr>
          <w:p w14:paraId="588DCB80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0.61</w:t>
            </w:r>
          </w:p>
        </w:tc>
        <w:tc>
          <w:tcPr>
            <w:tcW w:w="1842" w:type="dxa"/>
            <w:vAlign w:val="center"/>
          </w:tcPr>
          <w:p w14:paraId="52C4D81F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0.49 (0.46–0.50)</w:t>
            </w:r>
          </w:p>
        </w:tc>
        <w:tc>
          <w:tcPr>
            <w:tcW w:w="1843" w:type="dxa"/>
            <w:vAlign w:val="center"/>
          </w:tcPr>
          <w:p w14:paraId="64A4094E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D2A07" w:rsidRPr="00502A64" w14:paraId="41256735" w14:textId="77777777" w:rsidTr="00F5423B">
        <w:tc>
          <w:tcPr>
            <w:tcW w:w="2687" w:type="dxa"/>
            <w:vAlign w:val="center"/>
          </w:tcPr>
          <w:p w14:paraId="733C45B7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Cyclophosphamide</w:t>
            </w:r>
          </w:p>
        </w:tc>
        <w:tc>
          <w:tcPr>
            <w:tcW w:w="2275" w:type="dxa"/>
            <w:vAlign w:val="center"/>
          </w:tcPr>
          <w:p w14:paraId="6A4B8061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Treatment-related</w:t>
            </w:r>
          </w:p>
        </w:tc>
        <w:tc>
          <w:tcPr>
            <w:tcW w:w="3397" w:type="dxa"/>
            <w:vAlign w:val="center"/>
          </w:tcPr>
          <w:p w14:paraId="6D88EFAA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Yes vs no</w:t>
            </w:r>
          </w:p>
        </w:tc>
        <w:tc>
          <w:tcPr>
            <w:tcW w:w="2693" w:type="dxa"/>
            <w:vAlign w:val="center"/>
          </w:tcPr>
          <w:p w14:paraId="395F3236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0.26 (0.02–1.76)</w:t>
            </w:r>
          </w:p>
        </w:tc>
        <w:tc>
          <w:tcPr>
            <w:tcW w:w="1276" w:type="dxa"/>
          </w:tcPr>
          <w:p w14:paraId="1416195C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0.17</w:t>
            </w:r>
          </w:p>
        </w:tc>
        <w:tc>
          <w:tcPr>
            <w:tcW w:w="1842" w:type="dxa"/>
            <w:vAlign w:val="center"/>
          </w:tcPr>
          <w:p w14:paraId="2ED7ACCC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  <w:r w:rsidRPr="00502A64">
              <w:rPr>
                <w:rFonts w:ascii="Times New Roman" w:hAnsi="Times New Roman" w:cs="Times New Roman"/>
                <w:lang w:val="en-GB"/>
              </w:rPr>
              <w:t>0.69 (0.44–0.87)</w:t>
            </w:r>
          </w:p>
        </w:tc>
        <w:tc>
          <w:tcPr>
            <w:tcW w:w="1843" w:type="dxa"/>
            <w:vAlign w:val="center"/>
          </w:tcPr>
          <w:p w14:paraId="230CE7CD" w14:textId="77777777" w:rsidR="00BD2A07" w:rsidRPr="00502A64" w:rsidRDefault="00BD2A07" w:rsidP="00F5423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52F53DE2" w14:textId="77777777" w:rsidR="00BD2A07" w:rsidRPr="00502A64" w:rsidRDefault="00BD2A07" w:rsidP="00BD2A0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553FAF1" w14:textId="77777777" w:rsidR="00BD2A07" w:rsidRPr="00502A64" w:rsidRDefault="00BD2A07" w:rsidP="00BD2A0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1CEC259" w14:textId="77777777" w:rsidR="00BD2A07" w:rsidRPr="00502A64" w:rsidRDefault="00BD2A07" w:rsidP="00BD2A0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4029F29" w14:textId="77777777" w:rsidR="00BD2A07" w:rsidRPr="00502A64" w:rsidRDefault="00BD2A07" w:rsidP="00BD2A0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3A09EAB" w14:textId="77777777" w:rsidR="00BD2A07" w:rsidRPr="00502A64" w:rsidRDefault="00BD2A07" w:rsidP="00BD2A0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3F3D77F" w14:textId="77777777" w:rsidR="00BD2A07" w:rsidRPr="00502A64" w:rsidRDefault="00BD2A07" w:rsidP="00BD2A07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C9EE0A7" w14:textId="77777777" w:rsidR="00BD2A07" w:rsidRPr="00502A64" w:rsidRDefault="00BD2A07" w:rsidP="00BD2A07">
      <w:pPr>
        <w:rPr>
          <w:rFonts w:ascii="Times New Roman" w:hAnsi="Times New Roman" w:cs="Times New Roman"/>
          <w:b/>
          <w:bCs/>
          <w:u w:val="single"/>
          <w:lang w:val="en-GB"/>
        </w:rPr>
      </w:pPr>
      <w:r w:rsidRPr="00D261D2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Figure 1: Study flow chart</w:t>
      </w:r>
    </w:p>
    <w:p w14:paraId="361D4561" w14:textId="77777777" w:rsidR="00BD2A07" w:rsidRPr="000F3DAF" w:rsidRDefault="00BD2A07" w:rsidP="00BD2A07">
      <w:pPr>
        <w:rPr>
          <w:rFonts w:ascii="Times New Roman" w:hAnsi="Times New Roman" w:cs="Times New Roman"/>
          <w:sz w:val="24"/>
          <w:szCs w:val="24"/>
        </w:rPr>
      </w:pPr>
      <w:r w:rsidRPr="000F3DAF">
        <w:rPr>
          <w:rFonts w:ascii="Times New Roman" w:hAnsi="Times New Roman" w:cs="Times New Roman"/>
          <w:sz w:val="24"/>
          <w:szCs w:val="24"/>
        </w:rPr>
        <w:t>Supplementary figure 1 legend: AIE, autoimmune encephalitis; IVIg, intravenous immunoglobulin.</w:t>
      </w:r>
    </w:p>
    <w:p w14:paraId="08F31796" w14:textId="77777777" w:rsidR="00EB4A2D" w:rsidRDefault="00EB4A2D"/>
    <w:sectPr w:rsidR="00EB4A2D" w:rsidSect="00BD2A0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07"/>
    <w:rsid w:val="002C7D54"/>
    <w:rsid w:val="0033371E"/>
    <w:rsid w:val="005C0D39"/>
    <w:rsid w:val="0070406C"/>
    <w:rsid w:val="00724754"/>
    <w:rsid w:val="00BD2A07"/>
    <w:rsid w:val="00C21538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7BA3F"/>
  <w15:chartTrackingRefBased/>
  <w15:docId w15:val="{FB90C371-093A-4689-9B57-E444B20E3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A07"/>
    <w:pPr>
      <w:spacing w:line="259" w:lineRule="auto"/>
    </w:pPr>
    <w:rPr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2A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A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A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A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A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A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A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A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A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A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A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A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A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A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A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2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A0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2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A0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2A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A07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2A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A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A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D2A07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2026-05-15T13:49:00Z</dcterms:created>
  <dcterms:modified xsi:type="dcterms:W3CDTF">2026-05-15T13:49:00Z</dcterms:modified>
</cp:coreProperties>
</file>