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23844">
      <w:pPr>
        <w:keepNext/>
        <w:pageBreakBefore/>
        <w:spacing w:before="240" w:after="100" w:line="240" w:lineRule="auto"/>
        <w:jc w:val="left"/>
        <w:rPr>
          <w:rFonts w:hint="default"/>
          <w:b/>
          <w:bCs/>
          <w:color w:val="auto"/>
          <w:sz w:val="24"/>
          <w:szCs w:val="24"/>
          <w:highlight w:val="none"/>
        </w:rPr>
      </w:pPr>
      <w:r>
        <w:rPr>
          <w:b/>
          <w:color w:val="auto"/>
          <w:sz w:val="32"/>
          <w:highlight w:val="none"/>
        </w:rPr>
        <w:t>Supplementary Information</w:t>
      </w:r>
    </w:p>
    <w:p w14:paraId="430769D7">
      <w:pPr>
        <w:spacing w:before="0" w:after="60" w:line="240" w:lineRule="auto"/>
        <w:jc w:val="both"/>
        <w:rPr>
          <w:rFonts w:hint="default"/>
          <w:color w:val="auto"/>
          <w:sz w:val="20"/>
          <w:szCs w:val="20"/>
          <w:highlight w:val="none"/>
        </w:rPr>
      </w:pPr>
      <w:r>
        <w:rPr>
          <w:b w:val="0"/>
          <w:color w:val="auto"/>
          <w:sz w:val="22"/>
          <w:highlight w:val="none"/>
        </w:rPr>
        <w:t>Structure as Scaffolding: How Rubric-Anchored LLM Feedback Enhances Revision Engagement in Academic Argumentation</w:t>
      </w:r>
    </w:p>
    <w:p w14:paraId="3E1F6A6A">
      <w:pPr>
        <w:spacing w:before="0" w:after="60" w:line="240" w:lineRule="auto"/>
        <w:jc w:val="both"/>
        <w:rPr>
          <w:rFonts w:hint="default"/>
          <w:color w:val="auto"/>
          <w:sz w:val="20"/>
          <w:szCs w:val="20"/>
          <w:highlight w:val="none"/>
        </w:rPr>
      </w:pPr>
      <w:r>
        <w:rPr>
          <w:b w:val="0"/>
          <w:color w:val="auto"/>
          <w:sz w:val="20"/>
          <w:highlight w:val="none"/>
        </w:rPr>
        <w:t>This file accompanies the blinded main manuscript. Key excerpts needed to follow the study are retained in the main text; the full replication package is provided here, including the task packets, prompt templates, self-revision checklist, full analytic rubric, uptake codebook, execution manual, manipulation-check scales, and a transparency ANCOVA output.</w:t>
      </w:r>
    </w:p>
    <w:p w14:paraId="456F39E4">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Appendix Map</w:t>
      </w:r>
    </w:p>
    <w:tbl>
      <w:tblPr>
        <w:tblStyle w:val="34"/>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0"/>
        <w:gridCol w:w="3770"/>
        <w:gridCol w:w="4435"/>
      </w:tblGrid>
      <w:tr w14:paraId="24C73BE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1170"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2FD885A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Appendix</w:t>
            </w:r>
          </w:p>
        </w:tc>
        <w:tc>
          <w:tcPr>
            <w:tcW w:w="3770"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3DCE92F7">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Content</w:t>
            </w:r>
          </w:p>
        </w:tc>
        <w:tc>
          <w:tcPr>
            <w:tcW w:w="4435"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6C392DFF">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Used in</w:t>
            </w:r>
          </w:p>
        </w:tc>
      </w:tr>
      <w:tr w14:paraId="62FDDD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top w:val="single" w:color="auto" w:sz="12" w:space="0"/>
              <w:insideH w:val="nil"/>
              <w:insideV w:val="nil"/>
            </w:tcBorders>
            <w:tcMar>
              <w:top w:w="60" w:type="dxa"/>
              <w:left w:w="80" w:type="dxa"/>
              <w:bottom w:w="60" w:type="dxa"/>
              <w:right w:w="80" w:type="dxa"/>
            </w:tcMar>
            <w:vAlign w:val="center"/>
          </w:tcPr>
          <w:p w14:paraId="407904B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A</w:t>
            </w:r>
          </w:p>
        </w:tc>
        <w:tc>
          <w:tcPr>
            <w:tcW w:w="3770" w:type="dxa"/>
            <w:tcBorders>
              <w:top w:val="single" w:color="auto" w:sz="12" w:space="0"/>
              <w:insideH w:val="nil"/>
              <w:insideV w:val="nil"/>
            </w:tcBorders>
            <w:tcMar>
              <w:top w:w="60" w:type="dxa"/>
              <w:left w:w="80" w:type="dxa"/>
              <w:bottom w:w="60" w:type="dxa"/>
              <w:right w:w="80" w:type="dxa"/>
            </w:tcMar>
            <w:vAlign w:val="center"/>
          </w:tcPr>
          <w:p w14:paraId="18BD1F9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Assessment Task A packet (prompt + two briefs + data table)</w:t>
            </w:r>
          </w:p>
        </w:tc>
        <w:tc>
          <w:tcPr>
            <w:tcW w:w="4435" w:type="dxa"/>
            <w:tcBorders>
              <w:top w:val="single" w:color="auto" w:sz="12" w:space="0"/>
              <w:insideH w:val="nil"/>
              <w:insideV w:val="nil"/>
            </w:tcBorders>
            <w:tcMar>
              <w:top w:w="60" w:type="dxa"/>
              <w:left w:w="80" w:type="dxa"/>
              <w:bottom w:w="60" w:type="dxa"/>
              <w:right w:w="80" w:type="dxa"/>
            </w:tcMar>
            <w:vAlign w:val="center"/>
          </w:tcPr>
          <w:p w14:paraId="5D02186F">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2.2 (T0/T1 counterbalanced task description)</w:t>
            </w:r>
          </w:p>
        </w:tc>
      </w:tr>
      <w:tr w14:paraId="36078D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79275A84">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B</w:t>
            </w:r>
          </w:p>
        </w:tc>
        <w:tc>
          <w:tcPr>
            <w:tcW w:w="3770" w:type="dxa"/>
            <w:tcBorders>
              <w:insideH w:val="nil"/>
              <w:insideV w:val="nil"/>
              <w:tl2br w:val="nil"/>
              <w:tr2bl w:val="nil"/>
            </w:tcBorders>
            <w:tcMar>
              <w:top w:w="60" w:type="dxa"/>
              <w:left w:w="80" w:type="dxa"/>
              <w:bottom w:w="60" w:type="dxa"/>
              <w:right w:w="80" w:type="dxa"/>
            </w:tcMar>
            <w:vAlign w:val="center"/>
          </w:tcPr>
          <w:p w14:paraId="4B4E56DE">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Assessment Task C packet (prompt + two briefs + data table)</w:t>
            </w:r>
          </w:p>
        </w:tc>
        <w:tc>
          <w:tcPr>
            <w:tcW w:w="4435" w:type="dxa"/>
            <w:tcBorders>
              <w:insideH w:val="nil"/>
              <w:insideV w:val="nil"/>
              <w:tl2br w:val="nil"/>
              <w:tr2bl w:val="nil"/>
            </w:tcBorders>
            <w:tcMar>
              <w:top w:w="60" w:type="dxa"/>
              <w:left w:w="80" w:type="dxa"/>
              <w:bottom w:w="60" w:type="dxa"/>
              <w:right w:w="80" w:type="dxa"/>
            </w:tcMar>
            <w:vAlign w:val="center"/>
          </w:tcPr>
          <w:p w14:paraId="36F44DB2">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2.2 (T0/T1 counterbalanced</w:t>
            </w:r>
            <w:r>
              <w:rPr>
                <w:rFonts w:hint="eastAsia" w:eastAsia="宋体"/>
                <w:color w:val="auto"/>
                <w:sz w:val="18"/>
                <w:szCs w:val="20"/>
                <w:highlight w:val="none"/>
                <w:lang w:val="en-US" w:eastAsia="zh-CN"/>
              </w:rPr>
              <w:t xml:space="preserve"> task description</w:t>
            </w:r>
            <w:r>
              <w:rPr>
                <w:rFonts w:hint="default" w:ascii="Times New Roman" w:hAnsi="Times New Roman" w:eastAsia="Times New Roman"/>
                <w:color w:val="auto"/>
                <w:sz w:val="18"/>
                <w:szCs w:val="20"/>
                <w:highlight w:val="none"/>
              </w:rPr>
              <w:t>)</w:t>
            </w:r>
          </w:p>
        </w:tc>
      </w:tr>
      <w:tr w14:paraId="1AC3C9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0B0EFE7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w:t>
            </w:r>
          </w:p>
        </w:tc>
        <w:tc>
          <w:tcPr>
            <w:tcW w:w="3770" w:type="dxa"/>
            <w:tcBorders>
              <w:insideH w:val="nil"/>
              <w:insideV w:val="nil"/>
              <w:tl2br w:val="nil"/>
              <w:tr2bl w:val="nil"/>
            </w:tcBorders>
            <w:tcMar>
              <w:top w:w="60" w:type="dxa"/>
              <w:left w:w="80" w:type="dxa"/>
              <w:bottom w:w="60" w:type="dxa"/>
              <w:right w:w="80" w:type="dxa"/>
            </w:tcMar>
            <w:vAlign w:val="center"/>
          </w:tcPr>
          <w:p w14:paraId="0441D96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Practice Task B1 packet (prompt + two briefs + data table)</w:t>
            </w:r>
          </w:p>
        </w:tc>
        <w:tc>
          <w:tcPr>
            <w:tcW w:w="4435" w:type="dxa"/>
            <w:tcBorders>
              <w:insideH w:val="nil"/>
              <w:insideV w:val="nil"/>
              <w:tl2br w:val="nil"/>
              <w:tr2bl w:val="nil"/>
            </w:tcBorders>
            <w:tcMar>
              <w:top w:w="60" w:type="dxa"/>
              <w:left w:w="80" w:type="dxa"/>
              <w:bottom w:w="60" w:type="dxa"/>
              <w:right w:w="80" w:type="dxa"/>
            </w:tcMar>
            <w:vAlign w:val="center"/>
          </w:tcPr>
          <w:p w14:paraId="07BD92B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2.2 (B1 procedure)</w:t>
            </w:r>
          </w:p>
        </w:tc>
      </w:tr>
      <w:tr w14:paraId="535661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0F4980C8">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D</w:t>
            </w:r>
          </w:p>
        </w:tc>
        <w:tc>
          <w:tcPr>
            <w:tcW w:w="3770" w:type="dxa"/>
            <w:tcBorders>
              <w:insideH w:val="nil"/>
              <w:insideV w:val="nil"/>
              <w:tl2br w:val="nil"/>
              <w:tr2bl w:val="nil"/>
            </w:tcBorders>
            <w:tcMar>
              <w:top w:w="60" w:type="dxa"/>
              <w:left w:w="80" w:type="dxa"/>
              <w:bottom w:w="60" w:type="dxa"/>
              <w:right w:w="80" w:type="dxa"/>
            </w:tcMar>
            <w:vAlign w:val="center"/>
          </w:tcPr>
          <w:p w14:paraId="28573563">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Practice Task B2 packet (prompt + two briefs + data table)</w:t>
            </w:r>
          </w:p>
        </w:tc>
        <w:tc>
          <w:tcPr>
            <w:tcW w:w="4435" w:type="dxa"/>
            <w:tcBorders>
              <w:insideH w:val="nil"/>
              <w:insideV w:val="nil"/>
              <w:tl2br w:val="nil"/>
              <w:tr2bl w:val="nil"/>
            </w:tcBorders>
            <w:tcMar>
              <w:top w:w="60" w:type="dxa"/>
              <w:left w:w="80" w:type="dxa"/>
              <w:bottom w:w="60" w:type="dxa"/>
              <w:right w:w="80" w:type="dxa"/>
            </w:tcMar>
            <w:vAlign w:val="center"/>
          </w:tcPr>
          <w:p w14:paraId="69042655">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2.2 (B2 procedure)</w:t>
            </w:r>
          </w:p>
        </w:tc>
      </w:tr>
      <w:tr w14:paraId="0A7EFC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60105818">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E1</w:t>
            </w:r>
          </w:p>
        </w:tc>
        <w:tc>
          <w:tcPr>
            <w:tcW w:w="3770" w:type="dxa"/>
            <w:tcBorders>
              <w:insideH w:val="nil"/>
              <w:insideV w:val="nil"/>
              <w:tl2br w:val="nil"/>
              <w:tr2bl w:val="nil"/>
            </w:tcBorders>
            <w:tcMar>
              <w:top w:w="60" w:type="dxa"/>
              <w:left w:w="80" w:type="dxa"/>
              <w:bottom w:w="60" w:type="dxa"/>
              <w:right w:w="80" w:type="dxa"/>
            </w:tcMar>
            <w:vAlign w:val="center"/>
          </w:tcPr>
          <w:p w14:paraId="1394E98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RA-LLM prompt template (rubric-anchored format)</w:t>
            </w:r>
          </w:p>
        </w:tc>
        <w:tc>
          <w:tcPr>
            <w:tcW w:w="4435" w:type="dxa"/>
            <w:tcBorders>
              <w:insideH w:val="nil"/>
              <w:insideV w:val="nil"/>
              <w:tl2br w:val="nil"/>
              <w:tr2bl w:val="nil"/>
            </w:tcBorders>
            <w:tcMar>
              <w:top w:w="60" w:type="dxa"/>
              <w:left w:w="80" w:type="dxa"/>
              <w:bottom w:w="60" w:type="dxa"/>
              <w:right w:w="80" w:type="dxa"/>
            </w:tcMar>
            <w:vAlign w:val="center"/>
          </w:tcPr>
          <w:p w14:paraId="61AC34FC">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2.3 (RA prompt template)</w:t>
            </w:r>
          </w:p>
        </w:tc>
      </w:tr>
      <w:tr w14:paraId="440747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4DBB1CA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E2</w:t>
            </w:r>
          </w:p>
        </w:tc>
        <w:tc>
          <w:tcPr>
            <w:tcW w:w="3770" w:type="dxa"/>
            <w:tcBorders>
              <w:insideH w:val="nil"/>
              <w:insideV w:val="nil"/>
              <w:tl2br w:val="nil"/>
              <w:tr2bl w:val="nil"/>
            </w:tcBorders>
            <w:tcMar>
              <w:top w:w="60" w:type="dxa"/>
              <w:left w:w="80" w:type="dxa"/>
              <w:bottom w:w="60" w:type="dxa"/>
              <w:right w:w="80" w:type="dxa"/>
            </w:tcMar>
            <w:vAlign w:val="center"/>
          </w:tcPr>
          <w:p w14:paraId="5047250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NA-LLM prompt template (flat list; matched-priority)</w:t>
            </w:r>
          </w:p>
        </w:tc>
        <w:tc>
          <w:tcPr>
            <w:tcW w:w="4435" w:type="dxa"/>
            <w:tcBorders>
              <w:insideH w:val="nil"/>
              <w:insideV w:val="nil"/>
              <w:tl2br w:val="nil"/>
              <w:tr2bl w:val="nil"/>
            </w:tcBorders>
            <w:tcMar>
              <w:top w:w="60" w:type="dxa"/>
              <w:left w:w="80" w:type="dxa"/>
              <w:bottom w:w="60" w:type="dxa"/>
              <w:right w:w="80" w:type="dxa"/>
            </w:tcMar>
            <w:vAlign w:val="center"/>
          </w:tcPr>
          <w:p w14:paraId="5E9F8E36">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2.3 (NA prompt template)</w:t>
            </w:r>
          </w:p>
        </w:tc>
      </w:tr>
      <w:tr w14:paraId="3CAEEA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16370F4E">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F</w:t>
            </w:r>
          </w:p>
        </w:tc>
        <w:tc>
          <w:tcPr>
            <w:tcW w:w="3770" w:type="dxa"/>
            <w:tcBorders>
              <w:insideH w:val="nil"/>
              <w:insideV w:val="nil"/>
              <w:tl2br w:val="nil"/>
              <w:tr2bl w:val="nil"/>
            </w:tcBorders>
            <w:tcMar>
              <w:top w:w="60" w:type="dxa"/>
              <w:left w:w="80" w:type="dxa"/>
              <w:bottom w:w="60" w:type="dxa"/>
              <w:right w:w="80" w:type="dxa"/>
            </w:tcMar>
            <w:vAlign w:val="center"/>
          </w:tcPr>
          <w:p w14:paraId="4312D120">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Control self-revision checklist (15-min timed)</w:t>
            </w:r>
          </w:p>
        </w:tc>
        <w:tc>
          <w:tcPr>
            <w:tcW w:w="4435" w:type="dxa"/>
            <w:tcBorders>
              <w:insideH w:val="nil"/>
              <w:insideV w:val="nil"/>
              <w:tl2br w:val="nil"/>
              <w:tr2bl w:val="nil"/>
            </w:tcBorders>
            <w:tcMar>
              <w:top w:w="60" w:type="dxa"/>
              <w:left w:w="80" w:type="dxa"/>
              <w:bottom w:w="60" w:type="dxa"/>
              <w:right w:w="80" w:type="dxa"/>
            </w:tcMar>
            <w:vAlign w:val="center"/>
          </w:tcPr>
          <w:p w14:paraId="13757189">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2.3 (Control condition)</w:t>
            </w:r>
          </w:p>
        </w:tc>
      </w:tr>
      <w:tr w14:paraId="101EF0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2C701678">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G</w:t>
            </w:r>
          </w:p>
        </w:tc>
        <w:tc>
          <w:tcPr>
            <w:tcW w:w="3770" w:type="dxa"/>
            <w:tcBorders>
              <w:insideH w:val="nil"/>
              <w:insideV w:val="nil"/>
              <w:tl2br w:val="nil"/>
              <w:tr2bl w:val="nil"/>
            </w:tcBorders>
            <w:tcMar>
              <w:top w:w="60" w:type="dxa"/>
              <w:left w:w="80" w:type="dxa"/>
              <w:bottom w:w="60" w:type="dxa"/>
              <w:right w:w="80" w:type="dxa"/>
            </w:tcMar>
            <w:vAlign w:val="center"/>
          </w:tcPr>
          <w:p w14:paraId="04EFAE56">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Analytic scoring rubric (0–4 × 6; total 0–24; full version)</w:t>
            </w:r>
          </w:p>
        </w:tc>
        <w:tc>
          <w:tcPr>
            <w:tcW w:w="4435" w:type="dxa"/>
            <w:tcBorders>
              <w:insideH w:val="nil"/>
              <w:insideV w:val="nil"/>
              <w:tl2br w:val="nil"/>
              <w:tr2bl w:val="nil"/>
            </w:tcBorders>
            <w:tcMar>
              <w:top w:w="60" w:type="dxa"/>
              <w:left w:w="80" w:type="dxa"/>
              <w:bottom w:w="60" w:type="dxa"/>
              <w:right w:w="80" w:type="dxa"/>
            </w:tcMar>
            <w:vAlign w:val="center"/>
          </w:tcPr>
          <w:p w14:paraId="70918824">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2.4 &amp; Table 1 (rubric summary; full version provided here)</w:t>
            </w:r>
          </w:p>
        </w:tc>
      </w:tr>
      <w:tr w14:paraId="3F5601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0EA9010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H</w:t>
            </w:r>
          </w:p>
        </w:tc>
        <w:tc>
          <w:tcPr>
            <w:tcW w:w="3770" w:type="dxa"/>
            <w:tcBorders>
              <w:insideH w:val="nil"/>
              <w:insideV w:val="nil"/>
              <w:tl2br w:val="nil"/>
              <w:tr2bl w:val="nil"/>
            </w:tcBorders>
            <w:tcMar>
              <w:top w:w="60" w:type="dxa"/>
              <w:left w:w="80" w:type="dxa"/>
              <w:bottom w:w="60" w:type="dxa"/>
              <w:right w:w="80" w:type="dxa"/>
            </w:tcMar>
            <w:vAlign w:val="center"/>
          </w:tcPr>
          <w:p w14:paraId="127E048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Uptake coding codebook (rules + examples)</w:t>
            </w:r>
          </w:p>
        </w:tc>
        <w:tc>
          <w:tcPr>
            <w:tcW w:w="4435" w:type="dxa"/>
            <w:tcBorders>
              <w:insideH w:val="nil"/>
              <w:insideV w:val="nil"/>
              <w:tl2br w:val="nil"/>
              <w:tr2bl w:val="nil"/>
            </w:tcBorders>
            <w:tcMar>
              <w:top w:w="60" w:type="dxa"/>
              <w:left w:w="80" w:type="dxa"/>
              <w:bottom w:w="60" w:type="dxa"/>
              <w:right w:w="80" w:type="dxa"/>
            </w:tcMar>
            <w:vAlign w:val="center"/>
          </w:tcPr>
          <w:p w14:paraId="2FA75009">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2.4 (uptake coding)</w:t>
            </w:r>
          </w:p>
        </w:tc>
      </w:tr>
      <w:tr w14:paraId="384743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6A987AD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I</w:t>
            </w:r>
          </w:p>
        </w:tc>
        <w:tc>
          <w:tcPr>
            <w:tcW w:w="3770" w:type="dxa"/>
            <w:tcBorders>
              <w:insideH w:val="nil"/>
              <w:insideV w:val="nil"/>
              <w:tl2br w:val="nil"/>
              <w:tr2bl w:val="nil"/>
            </w:tcBorders>
            <w:tcMar>
              <w:top w:w="60" w:type="dxa"/>
              <w:left w:w="80" w:type="dxa"/>
              <w:bottom w:w="60" w:type="dxa"/>
              <w:right w:w="80" w:type="dxa"/>
            </w:tcMar>
            <w:vAlign w:val="center"/>
          </w:tcPr>
          <w:p w14:paraId="39B9DC8D">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Execution manual (SOP) for classroom implementation</w:t>
            </w:r>
          </w:p>
        </w:tc>
        <w:tc>
          <w:tcPr>
            <w:tcW w:w="4435" w:type="dxa"/>
            <w:tcBorders>
              <w:insideH w:val="nil"/>
              <w:insideV w:val="nil"/>
              <w:tl2br w:val="nil"/>
              <w:tr2bl w:val="nil"/>
            </w:tcBorders>
            <w:tcMar>
              <w:top w:w="60" w:type="dxa"/>
              <w:left w:w="80" w:type="dxa"/>
              <w:bottom w:w="60" w:type="dxa"/>
              <w:right w:w="80" w:type="dxa"/>
            </w:tcMar>
            <w:vAlign w:val="center"/>
          </w:tcPr>
          <w:p w14:paraId="0A7756B5">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2.1–2.3 (procedures &amp; reproducibility; SOP)</w:t>
            </w:r>
          </w:p>
        </w:tc>
      </w:tr>
      <w:tr w14:paraId="52455E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5D6AF611">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J</w:t>
            </w:r>
          </w:p>
        </w:tc>
        <w:tc>
          <w:tcPr>
            <w:tcW w:w="3770" w:type="dxa"/>
            <w:tcBorders>
              <w:insideH w:val="nil"/>
              <w:insideV w:val="nil"/>
              <w:tl2br w:val="nil"/>
              <w:tr2bl w:val="nil"/>
            </w:tcBorders>
            <w:tcMar>
              <w:top w:w="60" w:type="dxa"/>
              <w:left w:w="80" w:type="dxa"/>
              <w:bottom w:w="60" w:type="dxa"/>
              <w:right w:w="80" w:type="dxa"/>
            </w:tcMar>
            <w:vAlign w:val="center"/>
          </w:tcPr>
          <w:p w14:paraId="456E012F">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Manipulation-check anchored scales + results table</w:t>
            </w:r>
          </w:p>
        </w:tc>
        <w:tc>
          <w:tcPr>
            <w:tcW w:w="4435" w:type="dxa"/>
            <w:tcBorders>
              <w:insideH w:val="nil"/>
              <w:insideV w:val="nil"/>
              <w:tl2br w:val="nil"/>
              <w:tr2bl w:val="nil"/>
            </w:tcBorders>
            <w:tcMar>
              <w:top w:w="60" w:type="dxa"/>
              <w:left w:w="80" w:type="dxa"/>
              <w:bottom w:w="60" w:type="dxa"/>
              <w:right w:w="80" w:type="dxa"/>
            </w:tcMar>
            <w:vAlign w:val="center"/>
          </w:tcPr>
          <w:p w14:paraId="714838A1">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Method 2.3 &amp; Results 3.1.1 (Table 3; full scale anchors provided here)</w:t>
            </w:r>
          </w:p>
        </w:tc>
      </w:tr>
      <w:tr w14:paraId="5DC090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70" w:type="dxa"/>
            <w:tcBorders>
              <w:insideH w:val="nil"/>
              <w:insideV w:val="nil"/>
              <w:tl2br w:val="nil"/>
              <w:tr2bl w:val="nil"/>
            </w:tcBorders>
            <w:tcMar>
              <w:top w:w="60" w:type="dxa"/>
              <w:left w:w="80" w:type="dxa"/>
              <w:bottom w:w="60" w:type="dxa"/>
              <w:right w:w="80" w:type="dxa"/>
            </w:tcMar>
            <w:vAlign w:val="center"/>
          </w:tcPr>
          <w:p w14:paraId="1E0B3072">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K</w:t>
            </w:r>
          </w:p>
        </w:tc>
        <w:tc>
          <w:tcPr>
            <w:tcW w:w="3770" w:type="dxa"/>
            <w:tcBorders>
              <w:insideH w:val="nil"/>
              <w:insideV w:val="nil"/>
              <w:tl2br w:val="nil"/>
              <w:tr2bl w:val="nil"/>
            </w:tcBorders>
            <w:tcMar>
              <w:top w:w="60" w:type="dxa"/>
              <w:left w:w="80" w:type="dxa"/>
              <w:bottom w:w="60" w:type="dxa"/>
              <w:right w:w="80" w:type="dxa"/>
            </w:tcMar>
            <w:vAlign w:val="center"/>
          </w:tcPr>
          <w:p w14:paraId="705E8236">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Naïve individual-level ANCOVA output (transparency)</w:t>
            </w:r>
          </w:p>
        </w:tc>
        <w:tc>
          <w:tcPr>
            <w:tcW w:w="4435" w:type="dxa"/>
            <w:tcBorders>
              <w:insideH w:val="nil"/>
              <w:insideV w:val="nil"/>
              <w:tl2br w:val="nil"/>
              <w:tr2bl w:val="nil"/>
            </w:tcBorders>
            <w:tcMar>
              <w:top w:w="60" w:type="dxa"/>
              <w:left w:w="80" w:type="dxa"/>
              <w:bottom w:w="60" w:type="dxa"/>
              <w:right w:w="80" w:type="dxa"/>
            </w:tcMar>
            <w:vAlign w:val="center"/>
          </w:tcPr>
          <w:p w14:paraId="2382805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Main manuscript: Results 3.2 (transparency check; full output provided here)</w:t>
            </w:r>
          </w:p>
        </w:tc>
      </w:tr>
    </w:tbl>
    <w:p w14:paraId="18268A71">
      <w:pPr>
        <w:spacing w:before="0" w:after="60" w:line="240" w:lineRule="auto"/>
        <w:jc w:val="both"/>
        <w:rPr>
          <w:rFonts w:hint="default"/>
          <w:color w:val="auto"/>
          <w:sz w:val="20"/>
          <w:szCs w:val="20"/>
          <w:highlight w:val="none"/>
        </w:rPr>
      </w:pPr>
    </w:p>
    <w:p w14:paraId="0DCA60E7">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 A. Assessment Task A Packet</w:t>
      </w:r>
    </w:p>
    <w:p w14:paraId="28B08E58">
      <w:pPr>
        <w:spacing w:before="0" w:after="60" w:line="240" w:lineRule="auto"/>
        <w:jc w:val="both"/>
        <w:rPr>
          <w:rFonts w:hint="default"/>
          <w:b/>
          <w:bCs/>
          <w:color w:val="auto"/>
          <w:sz w:val="20"/>
          <w:szCs w:val="20"/>
          <w:highlight w:val="none"/>
        </w:rPr>
      </w:pPr>
      <w:r>
        <w:rPr>
          <w:rFonts w:hint="default" w:ascii="Times New Roman" w:hAnsi="Times New Roman" w:eastAsia="Times New Roman"/>
          <w:b/>
          <w:bCs/>
          <w:color w:val="auto"/>
          <w:sz w:val="21"/>
          <w:szCs w:val="20"/>
          <w:highlight w:val="none"/>
        </w:rPr>
        <w:t>Issue: Should universities require a mandatory internship for graduation?</w:t>
      </w:r>
    </w:p>
    <w:p w14:paraId="70AD401F">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Task type: Source-based academic argumentation.</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Target length:250–350 words.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Sources: Two opinion briefs + one data snippet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Core requirements: claim; integrate both briefs and table; explain reasoning; address one counterargument and rebuttal.</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Assessment timing: 50 minutes (uninterrupted).</w:t>
      </w:r>
    </w:p>
    <w:p w14:paraId="35FA1358">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A. Student Writing Prompt (pasteable)</w:t>
      </w:r>
    </w:p>
    <w:p w14:paraId="3166EF59">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Write an academic argument essay responding to the issue above.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1) State a clear claim.</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2) Use ideas and evidence from both briefs and the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3) Explain why your evidence supports your claim (warrants).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4) Address at least one counterargument and rebut it.</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5) Cite sources with in-text markers: (Brief 1), (Brief 2),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6) Keep an academic tone and coherent paragraph structure.</w:t>
      </w:r>
    </w:p>
    <w:p w14:paraId="40D9BE7B">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B. Source Packet</w:t>
      </w:r>
    </w:p>
    <w:p w14:paraId="0A5E5275">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Brief 1</w:t>
      </w:r>
    </w:p>
    <w:p w14:paraId="665F3C4C">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Mandatory internships can narrow the gap between university learning and labor-market expectations. Supporters argue that a universal requirement reduces unequal access to networks and practical experience, because students from less advantaged backgrounds are less likely to secure internships without formal structure. They also note that short internships encourage students to test career interests early, improving course selection and motivation in later semesters. Critics often point to variability in internship quality, but proponents respond that quality problems are not a reason to avoid the policy; they are a reason to design governance. A clear learning contract, minimum mentoring hours, and transparent evaluation can prevent “busywork internships.” From an institutional perspective, a mandatory internship can strengthen partnerships with local firms and public agencies, creating a stable pipeline of placements. Finally, supporters emphasize that the requirement should be flexible in format: research internships, community-based projects, and entrepreneurial placements can count if they meet learning outcomes. In short, if oversight is credible and alternatives are allowed, a universal internship requirement can promote both employability and educational equity.</w:t>
      </w:r>
    </w:p>
    <w:p w14:paraId="0A56A9E0">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Brief 2</w:t>
      </w:r>
    </w:p>
    <w:p w14:paraId="31717203">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Opponents of mandatory internships argue that the policy risks turning learning into compliance. They note that internship markets are uneven: in some cities, high-quality placements exist; in others, students may only find low-skill work unrelated to their major. When internships are required for graduation, students have weaker bargaining power and may accept poor conditions, including unpaid labor or excessive workload, to secure a signature. Critics also stress monitoring costs. Universities cannot easily observe day-to-day supervision inside firms, and paperwork-based evaluation may reward appearance rather than learning. Another concern is displacement: if many students must intern at the same time, firms may substitute interns for entry-level workers, increasing instability in the local labor market. Finally, the opportunity cost can be high. Students with caregiving duties or health constraints may face barriers, and a one-size-fits-all requirement can widen rather than reduce inequity. Critics therefore recommend an optional model: expand access through subsidies, career services, and credit-bearing internships, but keep graduation requirements tied to demonstrable competencies rather than placement completion.</w:t>
      </w:r>
    </w:p>
    <w:p w14:paraId="09955ADC">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Data snippet (Table A1): Student-reported outcomes from a multi-campus survey</w:t>
      </w:r>
    </w:p>
    <w:tbl>
      <w:tblPr>
        <w:tblStyle w:val="34"/>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43"/>
        <w:gridCol w:w="4320"/>
      </w:tblGrid>
      <w:tr w14:paraId="4C5056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5043"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2578E748">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Indicator</w:t>
            </w:r>
          </w:p>
        </w:tc>
        <w:tc>
          <w:tcPr>
            <w:tcW w:w="4320"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068CFC36">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Result</w:t>
            </w:r>
          </w:p>
        </w:tc>
      </w:tr>
      <w:tr w14:paraId="38CD97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43" w:type="dxa"/>
            <w:tcBorders>
              <w:top w:val="single" w:color="auto" w:sz="12" w:space="0"/>
              <w:insideH w:val="nil"/>
              <w:insideV w:val="nil"/>
            </w:tcBorders>
            <w:tcMar>
              <w:top w:w="60" w:type="dxa"/>
              <w:left w:w="80" w:type="dxa"/>
              <w:bottom w:w="60" w:type="dxa"/>
              <w:right w:w="80" w:type="dxa"/>
            </w:tcMar>
            <w:vAlign w:val="center"/>
          </w:tcPr>
          <w:p w14:paraId="4411F0D3">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Reported improved career clarity after internship</w:t>
            </w:r>
          </w:p>
        </w:tc>
        <w:tc>
          <w:tcPr>
            <w:tcW w:w="4320" w:type="dxa"/>
            <w:tcBorders>
              <w:top w:val="single" w:color="auto" w:sz="12" w:space="0"/>
              <w:insideH w:val="nil"/>
              <w:insideV w:val="nil"/>
            </w:tcBorders>
            <w:tcMar>
              <w:top w:w="60" w:type="dxa"/>
              <w:left w:w="80" w:type="dxa"/>
              <w:bottom w:w="60" w:type="dxa"/>
              <w:right w:w="80" w:type="dxa"/>
            </w:tcMar>
            <w:vAlign w:val="center"/>
          </w:tcPr>
          <w:p w14:paraId="47DFAC11">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58%</w:t>
            </w:r>
          </w:p>
        </w:tc>
      </w:tr>
      <w:tr w14:paraId="3BB51B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43" w:type="dxa"/>
            <w:tcBorders>
              <w:insideH w:val="nil"/>
              <w:insideV w:val="nil"/>
              <w:tl2br w:val="nil"/>
              <w:tr2bl w:val="nil"/>
            </w:tcBorders>
            <w:tcMar>
              <w:top w:w="60" w:type="dxa"/>
              <w:left w:w="80" w:type="dxa"/>
              <w:bottom w:w="60" w:type="dxa"/>
              <w:right w:w="80" w:type="dxa"/>
            </w:tcMar>
            <w:vAlign w:val="center"/>
          </w:tcPr>
          <w:p w14:paraId="7F36030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Reported improved job-search confidence</w:t>
            </w:r>
          </w:p>
        </w:tc>
        <w:tc>
          <w:tcPr>
            <w:tcW w:w="4320" w:type="dxa"/>
            <w:tcBorders>
              <w:insideH w:val="nil"/>
              <w:insideV w:val="nil"/>
              <w:tl2br w:val="nil"/>
              <w:tr2bl w:val="nil"/>
            </w:tcBorders>
            <w:tcMar>
              <w:top w:w="60" w:type="dxa"/>
              <w:left w:w="80" w:type="dxa"/>
              <w:bottom w:w="60" w:type="dxa"/>
              <w:right w:w="80" w:type="dxa"/>
            </w:tcMar>
            <w:vAlign w:val="center"/>
          </w:tcPr>
          <w:p w14:paraId="6FFD9275">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52%</w:t>
            </w:r>
          </w:p>
        </w:tc>
      </w:tr>
      <w:tr w14:paraId="1548ED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43" w:type="dxa"/>
            <w:tcBorders>
              <w:insideH w:val="nil"/>
              <w:insideV w:val="nil"/>
              <w:tl2br w:val="nil"/>
              <w:tr2bl w:val="nil"/>
            </w:tcBorders>
            <w:tcMar>
              <w:top w:w="60" w:type="dxa"/>
              <w:left w:w="80" w:type="dxa"/>
              <w:bottom w:w="60" w:type="dxa"/>
              <w:right w:w="80" w:type="dxa"/>
            </w:tcMar>
            <w:vAlign w:val="center"/>
          </w:tcPr>
          <w:p w14:paraId="783CD4D5">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Reported reduced workload stress (vs. regular semester)</w:t>
            </w:r>
          </w:p>
        </w:tc>
        <w:tc>
          <w:tcPr>
            <w:tcW w:w="4320" w:type="dxa"/>
            <w:tcBorders>
              <w:insideH w:val="nil"/>
              <w:insideV w:val="nil"/>
              <w:tl2br w:val="nil"/>
              <w:tr2bl w:val="nil"/>
            </w:tcBorders>
            <w:tcMar>
              <w:top w:w="60" w:type="dxa"/>
              <w:left w:w="80" w:type="dxa"/>
              <w:bottom w:w="60" w:type="dxa"/>
              <w:right w:w="80" w:type="dxa"/>
            </w:tcMar>
            <w:vAlign w:val="center"/>
          </w:tcPr>
          <w:p w14:paraId="56839CA1">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46%</w:t>
            </w:r>
          </w:p>
        </w:tc>
      </w:tr>
      <w:tr w14:paraId="780720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43" w:type="dxa"/>
            <w:tcBorders>
              <w:insideH w:val="nil"/>
              <w:insideV w:val="nil"/>
              <w:tl2br w:val="nil"/>
              <w:tr2bl w:val="nil"/>
            </w:tcBorders>
            <w:tcMar>
              <w:top w:w="60" w:type="dxa"/>
              <w:left w:w="80" w:type="dxa"/>
              <w:bottom w:w="60" w:type="dxa"/>
              <w:right w:w="80" w:type="dxa"/>
            </w:tcMar>
            <w:vAlign w:val="center"/>
          </w:tcPr>
          <w:p w14:paraId="21155DD6">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Reported negative impact on coursework time</w:t>
            </w:r>
          </w:p>
        </w:tc>
        <w:tc>
          <w:tcPr>
            <w:tcW w:w="4320" w:type="dxa"/>
            <w:tcBorders>
              <w:insideH w:val="nil"/>
              <w:insideV w:val="nil"/>
              <w:tl2br w:val="nil"/>
              <w:tr2bl w:val="nil"/>
            </w:tcBorders>
            <w:tcMar>
              <w:top w:w="60" w:type="dxa"/>
              <w:left w:w="80" w:type="dxa"/>
              <w:bottom w:w="60" w:type="dxa"/>
              <w:right w:w="80" w:type="dxa"/>
            </w:tcMar>
            <w:vAlign w:val="center"/>
          </w:tcPr>
          <w:p w14:paraId="0E5EE978">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41%</w:t>
            </w:r>
          </w:p>
        </w:tc>
      </w:tr>
      <w:tr w14:paraId="5B9CEB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43" w:type="dxa"/>
            <w:tcBorders>
              <w:insideH w:val="nil"/>
              <w:insideV w:val="nil"/>
              <w:tl2br w:val="nil"/>
              <w:tr2bl w:val="nil"/>
            </w:tcBorders>
            <w:tcMar>
              <w:top w:w="60" w:type="dxa"/>
              <w:left w:w="80" w:type="dxa"/>
              <w:bottom w:w="60" w:type="dxa"/>
              <w:right w:w="80" w:type="dxa"/>
            </w:tcMar>
            <w:vAlign w:val="center"/>
          </w:tcPr>
          <w:p w14:paraId="7798D3A6">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Reported mentor support meeting expectations</w:t>
            </w:r>
          </w:p>
        </w:tc>
        <w:tc>
          <w:tcPr>
            <w:tcW w:w="4320" w:type="dxa"/>
            <w:tcBorders>
              <w:insideH w:val="nil"/>
              <w:insideV w:val="nil"/>
              <w:tl2br w:val="nil"/>
              <w:tr2bl w:val="nil"/>
            </w:tcBorders>
            <w:tcMar>
              <w:top w:w="60" w:type="dxa"/>
              <w:left w:w="80" w:type="dxa"/>
              <w:bottom w:w="60" w:type="dxa"/>
              <w:right w:w="80" w:type="dxa"/>
            </w:tcMar>
            <w:vAlign w:val="center"/>
          </w:tcPr>
          <w:p w14:paraId="4B798D4F">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49%</w:t>
            </w:r>
          </w:p>
        </w:tc>
      </w:tr>
    </w:tbl>
    <w:p w14:paraId="380E6004">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Note. Percentages refer to respondents/students in the survey described in the table.</w:t>
      </w:r>
    </w:p>
    <w:p w14:paraId="02F419B1">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C. Student Planning Space (optional)</w:t>
      </w:r>
    </w:p>
    <w:p w14:paraId="6C7DC9D7">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Claim:</w:t>
      </w:r>
    </w:p>
    <w:p w14:paraId="5A00303D">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Evidence to use (from briefs/table):</w:t>
      </w:r>
    </w:p>
    <w:p w14:paraId="37A466AF">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Reasoning (why evidence supports claim):</w:t>
      </w:r>
    </w:p>
    <w:p w14:paraId="46D74A8D">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Counterargument + rebuttal:</w:t>
      </w:r>
    </w:p>
    <w:p w14:paraId="0BB0E803">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Outline (3–5 bullets):</w:t>
      </w:r>
    </w:p>
    <w:p w14:paraId="0E2F80AC">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 B. Assessment Task C Packet</w:t>
      </w:r>
    </w:p>
    <w:p w14:paraId="4F2016EF">
      <w:pPr>
        <w:spacing w:before="0" w:after="60" w:line="240" w:lineRule="auto"/>
        <w:jc w:val="both"/>
        <w:rPr>
          <w:rFonts w:hint="default"/>
          <w:b/>
          <w:bCs/>
          <w:color w:val="auto"/>
          <w:sz w:val="20"/>
          <w:szCs w:val="20"/>
          <w:highlight w:val="none"/>
        </w:rPr>
      </w:pPr>
      <w:r>
        <w:rPr>
          <w:rFonts w:hint="default" w:ascii="Times New Roman" w:hAnsi="Times New Roman" w:eastAsia="Times New Roman"/>
          <w:b/>
          <w:bCs/>
          <w:color w:val="auto"/>
          <w:sz w:val="21"/>
          <w:szCs w:val="20"/>
          <w:highlight w:val="none"/>
        </w:rPr>
        <w:t>Issue: Should employers adopt a hybrid-by-default remote work policy for knowledge-work roles?</w:t>
      </w:r>
    </w:p>
    <w:p w14:paraId="22AC28DE">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Task type:Source-based academic argumentation.</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Target length: 250–350 words.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Sources: Two opinion briefs + one data snippet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Core requirements: claim; integrate both briefs and table; explain reasoning; address one counterargument and rebuttal.</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Assessment timing: 50 minutes (uninterrupted).</w:t>
      </w:r>
    </w:p>
    <w:p w14:paraId="2655BE89">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A. Student Writing Prompt (pasteable)</w:t>
      </w:r>
    </w:p>
    <w:p w14:paraId="67E66264">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Write an academic argument essay responding to the issue above.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1) State a clear claim.</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2) Use ideas and evidence from both briefs and the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3) Explain why your evidence supports your claim (warrants).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4) Address at least one counterargument and rebut it.</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5) Cite sources with in-text markers: (Brief 1), (Brief 2),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6) Keep an academic tone and coherent paragraph structure.</w:t>
      </w:r>
    </w:p>
    <w:p w14:paraId="4D22564D">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B. Source Packet</w:t>
      </w:r>
    </w:p>
    <w:p w14:paraId="4F8F6DCC">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Brief 1</w:t>
      </w:r>
    </w:p>
    <w:p w14:paraId="10B899D8">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Remote work policies have become a central question for productivity and worker well-being. Proponents of a hybrid-by-default policy argue that remote days reduce commuting time and allow employees to align deep work with their peak concentration periods. They cite evidence that many knowledge tasks can be completed with fewer interruptions at home, and that flexible schedules improve retention, especially for workers with caregiving responsibilities. Supporters also stress that hybrid policies can broaden hiring pools beyond expensive metropolitan centers, lowering costs and improving diversity. Concerns about collaboration, they argue, can be mitigated through intentional design: shared in-office days for teamwork, structured documentation, and clear norms for response times. Finally, hybrid arrangements may increase resilience during disruptions (extreme weather, health events), protecting organizational continuity. In this view, the goal is not to eliminate offices but to treat office time as a purposeful resource for coordination rather than as a default condition for individual tasks.</w:t>
      </w:r>
    </w:p>
    <w:p w14:paraId="68514AF7">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Brief 2</w:t>
      </w:r>
    </w:p>
    <w:p w14:paraId="6E808D9E">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Critics of remote-first or hybrid-by-default policies argue that long-term organizational learning depends on co-presence. They claim that new employees and junior staff learn faster when they can observe informal problem-solving, overhear explanations, and receive immediate feedback. When teams are dispersed, knowledge becomes fragmented and tacit practices are harder to transmit, potentially harming innovation. Critics also emphasize coordination costs: meetings expand to compensate for missing hallway conversations, and misunderstandings multiply when work is mediated by tools. Additionally, they argue that remote work can intensify work-life boundary erosion, leading to longer working hours and burnout. From a managerial standpoint, evaluating performance becomes more complex when outputs are not easily observable, and fairness concerns may arise if remote workers are excluded from high-visibility projects. Critics therefore recommend cautious, role-specific adoption: allow flexibility where tasks are clearly measurable, but avoid blanket policies that could undermine mentorship and team cohesion.</w:t>
      </w:r>
    </w:p>
    <w:p w14:paraId="44056F4B">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Data snippet (Table C1): Employee and manager survey indicators</w:t>
      </w:r>
    </w:p>
    <w:tbl>
      <w:tblPr>
        <w:tblStyle w:val="34"/>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652"/>
        <w:gridCol w:w="3722"/>
      </w:tblGrid>
      <w:tr w14:paraId="69910A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5652"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2C03E72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Indicator</w:t>
            </w:r>
          </w:p>
        </w:tc>
        <w:tc>
          <w:tcPr>
            <w:tcW w:w="3722"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29AFA81E">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Result</w:t>
            </w:r>
          </w:p>
        </w:tc>
      </w:tr>
      <w:tr w14:paraId="4893E9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52" w:type="dxa"/>
            <w:tcBorders>
              <w:top w:val="single" w:color="auto" w:sz="12" w:space="0"/>
              <w:insideH w:val="nil"/>
              <w:insideV w:val="nil"/>
            </w:tcBorders>
            <w:tcMar>
              <w:top w:w="60" w:type="dxa"/>
              <w:left w:w="80" w:type="dxa"/>
              <w:bottom w:w="60" w:type="dxa"/>
              <w:right w:w="80" w:type="dxa"/>
            </w:tcMar>
            <w:vAlign w:val="center"/>
          </w:tcPr>
          <w:p w14:paraId="65D7265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Employees reporting higher productivity under hybrid schedule</w:t>
            </w:r>
          </w:p>
        </w:tc>
        <w:tc>
          <w:tcPr>
            <w:tcW w:w="3722" w:type="dxa"/>
            <w:tcBorders>
              <w:top w:val="single" w:color="auto" w:sz="12" w:space="0"/>
              <w:insideH w:val="nil"/>
              <w:insideV w:val="nil"/>
            </w:tcBorders>
            <w:tcMar>
              <w:top w:w="60" w:type="dxa"/>
              <w:left w:w="80" w:type="dxa"/>
              <w:bottom w:w="60" w:type="dxa"/>
              <w:right w:w="80" w:type="dxa"/>
            </w:tcMar>
            <w:vAlign w:val="center"/>
          </w:tcPr>
          <w:p w14:paraId="12BF6712">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44%</w:t>
            </w:r>
          </w:p>
        </w:tc>
      </w:tr>
      <w:tr w14:paraId="21ABDB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52" w:type="dxa"/>
            <w:tcBorders>
              <w:insideH w:val="nil"/>
              <w:insideV w:val="nil"/>
              <w:tl2br w:val="nil"/>
              <w:tr2bl w:val="nil"/>
            </w:tcBorders>
            <w:tcMar>
              <w:top w:w="60" w:type="dxa"/>
              <w:left w:w="80" w:type="dxa"/>
              <w:bottom w:w="60" w:type="dxa"/>
              <w:right w:w="80" w:type="dxa"/>
            </w:tcMar>
            <w:vAlign w:val="center"/>
          </w:tcPr>
          <w:p w14:paraId="6EA006F9">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Employees reporting improved work-life balance</w:t>
            </w:r>
          </w:p>
        </w:tc>
        <w:tc>
          <w:tcPr>
            <w:tcW w:w="3722" w:type="dxa"/>
            <w:tcBorders>
              <w:insideH w:val="nil"/>
              <w:insideV w:val="nil"/>
              <w:tl2br w:val="nil"/>
              <w:tr2bl w:val="nil"/>
            </w:tcBorders>
            <w:tcMar>
              <w:top w:w="60" w:type="dxa"/>
              <w:left w:w="80" w:type="dxa"/>
              <w:bottom w:w="60" w:type="dxa"/>
              <w:right w:w="80" w:type="dxa"/>
            </w:tcMar>
            <w:vAlign w:val="center"/>
          </w:tcPr>
          <w:p w14:paraId="74EF05CA">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57%</w:t>
            </w:r>
          </w:p>
        </w:tc>
      </w:tr>
      <w:tr w14:paraId="1EE121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52" w:type="dxa"/>
            <w:tcBorders>
              <w:insideH w:val="nil"/>
              <w:insideV w:val="nil"/>
              <w:tl2br w:val="nil"/>
              <w:tr2bl w:val="nil"/>
            </w:tcBorders>
            <w:tcMar>
              <w:top w:w="60" w:type="dxa"/>
              <w:left w:w="80" w:type="dxa"/>
              <w:bottom w:w="60" w:type="dxa"/>
              <w:right w:w="80" w:type="dxa"/>
            </w:tcMar>
            <w:vAlign w:val="center"/>
          </w:tcPr>
          <w:p w14:paraId="598A690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Employees reporting weaker team cohesion</w:t>
            </w:r>
          </w:p>
        </w:tc>
        <w:tc>
          <w:tcPr>
            <w:tcW w:w="3722" w:type="dxa"/>
            <w:tcBorders>
              <w:insideH w:val="nil"/>
              <w:insideV w:val="nil"/>
              <w:tl2br w:val="nil"/>
              <w:tr2bl w:val="nil"/>
            </w:tcBorders>
            <w:tcMar>
              <w:top w:w="60" w:type="dxa"/>
              <w:left w:w="80" w:type="dxa"/>
              <w:bottom w:w="60" w:type="dxa"/>
              <w:right w:w="80" w:type="dxa"/>
            </w:tcMar>
            <w:vAlign w:val="center"/>
          </w:tcPr>
          <w:p w14:paraId="6F2B26E2">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38%</w:t>
            </w:r>
          </w:p>
        </w:tc>
      </w:tr>
      <w:tr w14:paraId="3A3DB2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52" w:type="dxa"/>
            <w:tcBorders>
              <w:insideH w:val="nil"/>
              <w:insideV w:val="nil"/>
              <w:tl2br w:val="nil"/>
              <w:tr2bl w:val="nil"/>
            </w:tcBorders>
            <w:tcMar>
              <w:top w:w="60" w:type="dxa"/>
              <w:left w:w="80" w:type="dxa"/>
              <w:bottom w:w="60" w:type="dxa"/>
              <w:right w:w="80" w:type="dxa"/>
            </w:tcMar>
            <w:vAlign w:val="center"/>
          </w:tcPr>
          <w:p w14:paraId="21C5F58F">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Managers reporting difficulty mentoring juniors</w:t>
            </w:r>
          </w:p>
        </w:tc>
        <w:tc>
          <w:tcPr>
            <w:tcW w:w="3722" w:type="dxa"/>
            <w:tcBorders>
              <w:insideH w:val="nil"/>
              <w:insideV w:val="nil"/>
              <w:tl2br w:val="nil"/>
              <w:tr2bl w:val="nil"/>
            </w:tcBorders>
            <w:tcMar>
              <w:top w:w="60" w:type="dxa"/>
              <w:left w:w="80" w:type="dxa"/>
              <w:bottom w:w="60" w:type="dxa"/>
              <w:right w:w="80" w:type="dxa"/>
            </w:tcMar>
            <w:vAlign w:val="center"/>
          </w:tcPr>
          <w:p w14:paraId="4FDA9B70">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42%</w:t>
            </w:r>
          </w:p>
        </w:tc>
      </w:tr>
      <w:tr w14:paraId="06D31C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52" w:type="dxa"/>
            <w:tcBorders>
              <w:insideH w:val="nil"/>
              <w:insideV w:val="nil"/>
              <w:tl2br w:val="nil"/>
              <w:tr2bl w:val="nil"/>
            </w:tcBorders>
            <w:tcMar>
              <w:top w:w="60" w:type="dxa"/>
              <w:left w:w="80" w:type="dxa"/>
              <w:bottom w:w="60" w:type="dxa"/>
              <w:right w:w="80" w:type="dxa"/>
            </w:tcMar>
            <w:vAlign w:val="center"/>
          </w:tcPr>
          <w:p w14:paraId="6DADA469">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Employees preferring ≥2 remote days per week</w:t>
            </w:r>
          </w:p>
        </w:tc>
        <w:tc>
          <w:tcPr>
            <w:tcW w:w="3722" w:type="dxa"/>
            <w:tcBorders>
              <w:insideH w:val="nil"/>
              <w:insideV w:val="nil"/>
              <w:tl2br w:val="nil"/>
              <w:tr2bl w:val="nil"/>
            </w:tcBorders>
            <w:tcMar>
              <w:top w:w="60" w:type="dxa"/>
              <w:left w:w="80" w:type="dxa"/>
              <w:bottom w:w="60" w:type="dxa"/>
              <w:right w:w="80" w:type="dxa"/>
            </w:tcMar>
            <w:vAlign w:val="center"/>
          </w:tcPr>
          <w:p w14:paraId="36A8AF31">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61%</w:t>
            </w:r>
          </w:p>
        </w:tc>
      </w:tr>
    </w:tbl>
    <w:p w14:paraId="1517CF10">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Note. Percentages refer to respondents/students in the survey described in the table.</w:t>
      </w:r>
    </w:p>
    <w:p w14:paraId="6ECCA9A4">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C. Student Planning Space (optional)</w:t>
      </w:r>
    </w:p>
    <w:p w14:paraId="673C715F">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Claim:</w:t>
      </w:r>
    </w:p>
    <w:p w14:paraId="3E795FBC">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Evidence to use (from briefs/table):</w:t>
      </w:r>
    </w:p>
    <w:p w14:paraId="77BC0291">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Reasoning (why evidence supports claim):</w:t>
      </w:r>
    </w:p>
    <w:p w14:paraId="356D29B1">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Counterargument + rebuttal:</w:t>
      </w:r>
    </w:p>
    <w:p w14:paraId="1E377931">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Outline (3–5 bullets):</w:t>
      </w:r>
    </w:p>
    <w:p w14:paraId="451CEA36">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 C. Practice Task B1 Packet</w:t>
      </w:r>
    </w:p>
    <w:p w14:paraId="0579050E">
      <w:pPr>
        <w:spacing w:before="0" w:after="60" w:line="240" w:lineRule="auto"/>
        <w:jc w:val="both"/>
        <w:rPr>
          <w:rFonts w:hint="default"/>
          <w:b/>
          <w:bCs/>
          <w:color w:val="auto"/>
          <w:sz w:val="20"/>
          <w:szCs w:val="20"/>
          <w:highlight w:val="none"/>
        </w:rPr>
      </w:pPr>
      <w:r>
        <w:rPr>
          <w:rFonts w:hint="default" w:ascii="Times New Roman" w:hAnsi="Times New Roman" w:eastAsia="Times New Roman"/>
          <w:b/>
          <w:bCs/>
          <w:color w:val="auto"/>
          <w:sz w:val="21"/>
          <w:szCs w:val="20"/>
          <w:highlight w:val="none"/>
        </w:rPr>
        <w:t>Issue: Should universities require a short AI literacy module for all undergraduates?</w:t>
      </w:r>
    </w:p>
    <w:p w14:paraId="69398FA0">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Task type: Source-based academic argumentation.</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Target length: 250–350 words.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Sources: Two opinion briefs + one data snippet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Core requirements: claim; integrate both briefs and table; explain reasoning; address one counterargument and rebuttal.</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Practice timing: Draft 1 (50 min) + Review (15 min) + Draft 2 (35 min).</w:t>
      </w:r>
    </w:p>
    <w:p w14:paraId="145A96CC">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A. Student Writing Prompt (pasteable)</w:t>
      </w:r>
    </w:p>
    <w:p w14:paraId="01E7DCA1">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Write an academic argument essay responding to the issue above.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1) State a clear claim.</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2) Use ideas and evidence from both briefs and the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3) Explain why your evidence supports your claim (warrants).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4) Address at least one counterargument and rebut it.</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5) Cite sources with in-text markers: (Brief 1), (Brief 2),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6) Keep an academic tone and coherent paragraph structure.</w:t>
      </w:r>
    </w:p>
    <w:p w14:paraId="1DCF05A0">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B. Source Packet</w:t>
      </w:r>
    </w:p>
    <w:p w14:paraId="3B92EBBD">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Brief 1</w:t>
      </w:r>
    </w:p>
    <w:p w14:paraId="0D87A96E">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Universities increasingly consider requiring an AI literacy module for all undergraduates. Supporters argue that AI tools are now embedded in everyday writing, data analysis, and decision-making, so students need a baseline understanding of capabilities, limitations, and ethical risks. A required module could teach students to evaluate model outputs, detect hallucinations, document AI assistance, and protect privacy. Proponents claim this reduces academic integrity violations by replacing unclear prohibitions with actionable guidance. They also stress equity: without formal instruction, students with more informal access to AI coaching may gain an unfair advantage. A short required module, they argue, would not replace disciplinary learning; instead, it would provide transferable habits (verification, citation, transparency) that improve students’ long-term learning and employability.</w:t>
      </w:r>
    </w:p>
    <w:p w14:paraId="6D1D7440">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Brief 2</w:t>
      </w:r>
    </w:p>
    <w:p w14:paraId="1B7C417C">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Opponents of mandatory AI literacy modules argue that curriculum time is scarce and should prioritize disciplinary depth. They note that “AI literacy” changes rapidly as tools evolve, risking a module that becomes outdated or superficial. Critics also worry that formal instruction may normalize AI use and encourage dependency, especially in writing tasks where practice matters. Instead of a requirement, they propose optional workshops and discipline-specific integration: statistics courses can teach model evaluation through data exercises, and writing courses can address AI use through genre-appropriate policies. This approach, critics argue, respects differences across fields and avoids a generic module that fits no one well.</w:t>
      </w:r>
    </w:p>
    <w:p w14:paraId="25AE637D">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Data snippet (Table B1): Campus survey indicators</w:t>
      </w:r>
    </w:p>
    <w:tbl>
      <w:tblPr>
        <w:tblStyle w:val="34"/>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83"/>
        <w:gridCol w:w="4320"/>
      </w:tblGrid>
      <w:tr w14:paraId="6CDD7C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blHeader/>
          <w:jc w:val="center"/>
        </w:trPr>
        <w:tc>
          <w:tcPr>
            <w:tcW w:w="5083"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5BB852C9">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Indicator</w:t>
            </w:r>
          </w:p>
        </w:tc>
        <w:tc>
          <w:tcPr>
            <w:tcW w:w="4320"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6CF29D50">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Result</w:t>
            </w:r>
          </w:p>
        </w:tc>
      </w:tr>
      <w:tr w14:paraId="578D0E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83" w:type="dxa"/>
            <w:tcBorders>
              <w:top w:val="single" w:color="auto" w:sz="12" w:space="0"/>
              <w:insideH w:val="nil"/>
              <w:insideV w:val="nil"/>
            </w:tcBorders>
            <w:tcMar>
              <w:top w:w="60" w:type="dxa"/>
              <w:left w:w="80" w:type="dxa"/>
              <w:bottom w:w="60" w:type="dxa"/>
              <w:right w:w="80" w:type="dxa"/>
            </w:tcMar>
            <w:vAlign w:val="center"/>
          </w:tcPr>
          <w:p w14:paraId="5F15D68E">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Students reporting regular GenAI use for coursework</w:t>
            </w:r>
          </w:p>
        </w:tc>
        <w:tc>
          <w:tcPr>
            <w:tcW w:w="4320" w:type="dxa"/>
            <w:tcBorders>
              <w:top w:val="single" w:color="auto" w:sz="12" w:space="0"/>
              <w:insideH w:val="nil"/>
              <w:insideV w:val="nil"/>
            </w:tcBorders>
            <w:tcMar>
              <w:top w:w="60" w:type="dxa"/>
              <w:left w:w="80" w:type="dxa"/>
              <w:bottom w:w="60" w:type="dxa"/>
              <w:right w:w="80" w:type="dxa"/>
            </w:tcMar>
            <w:vAlign w:val="center"/>
          </w:tcPr>
          <w:p w14:paraId="20E0DBE7">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63%</w:t>
            </w:r>
          </w:p>
        </w:tc>
      </w:tr>
      <w:tr w14:paraId="1A6922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83" w:type="dxa"/>
            <w:tcBorders>
              <w:insideH w:val="nil"/>
              <w:insideV w:val="nil"/>
              <w:tl2br w:val="nil"/>
              <w:tr2bl w:val="nil"/>
            </w:tcBorders>
            <w:tcMar>
              <w:top w:w="60" w:type="dxa"/>
              <w:left w:w="80" w:type="dxa"/>
              <w:bottom w:w="60" w:type="dxa"/>
              <w:right w:w="80" w:type="dxa"/>
            </w:tcMar>
            <w:vAlign w:val="center"/>
          </w:tcPr>
          <w:p w14:paraId="7F25D3D0">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Students reporting uncertainty about acceptable AI use</w:t>
            </w:r>
          </w:p>
        </w:tc>
        <w:tc>
          <w:tcPr>
            <w:tcW w:w="4320" w:type="dxa"/>
            <w:tcBorders>
              <w:insideH w:val="nil"/>
              <w:insideV w:val="nil"/>
              <w:tl2br w:val="nil"/>
              <w:tr2bl w:val="nil"/>
            </w:tcBorders>
            <w:tcMar>
              <w:top w:w="60" w:type="dxa"/>
              <w:left w:w="80" w:type="dxa"/>
              <w:bottom w:w="60" w:type="dxa"/>
              <w:right w:w="80" w:type="dxa"/>
            </w:tcMar>
            <w:vAlign w:val="center"/>
          </w:tcPr>
          <w:p w14:paraId="7DFDB4D7">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54%</w:t>
            </w:r>
          </w:p>
        </w:tc>
      </w:tr>
      <w:tr w14:paraId="613174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83" w:type="dxa"/>
            <w:tcBorders>
              <w:insideH w:val="nil"/>
              <w:insideV w:val="nil"/>
              <w:tl2br w:val="nil"/>
              <w:tr2bl w:val="nil"/>
            </w:tcBorders>
            <w:tcMar>
              <w:top w:w="60" w:type="dxa"/>
              <w:left w:w="80" w:type="dxa"/>
              <w:bottom w:w="60" w:type="dxa"/>
              <w:right w:w="80" w:type="dxa"/>
            </w:tcMar>
            <w:vAlign w:val="center"/>
          </w:tcPr>
          <w:p w14:paraId="12A88F7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Students reporting improved confidence after short training</w:t>
            </w:r>
          </w:p>
        </w:tc>
        <w:tc>
          <w:tcPr>
            <w:tcW w:w="4320" w:type="dxa"/>
            <w:tcBorders>
              <w:insideH w:val="nil"/>
              <w:insideV w:val="nil"/>
              <w:tl2br w:val="nil"/>
              <w:tr2bl w:val="nil"/>
            </w:tcBorders>
            <w:tcMar>
              <w:top w:w="60" w:type="dxa"/>
              <w:left w:w="80" w:type="dxa"/>
              <w:bottom w:w="60" w:type="dxa"/>
              <w:right w:w="80" w:type="dxa"/>
            </w:tcMar>
            <w:vAlign w:val="center"/>
          </w:tcPr>
          <w:p w14:paraId="7D716D84">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59%</w:t>
            </w:r>
          </w:p>
        </w:tc>
      </w:tr>
      <w:tr w14:paraId="3EA01E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83" w:type="dxa"/>
            <w:tcBorders>
              <w:insideH w:val="nil"/>
              <w:insideV w:val="nil"/>
              <w:tl2br w:val="nil"/>
              <w:tr2bl w:val="nil"/>
            </w:tcBorders>
            <w:tcMar>
              <w:top w:w="60" w:type="dxa"/>
              <w:left w:w="80" w:type="dxa"/>
              <w:bottom w:w="60" w:type="dxa"/>
              <w:right w:w="80" w:type="dxa"/>
            </w:tcMar>
            <w:vAlign w:val="center"/>
          </w:tcPr>
          <w:p w14:paraId="6554E8E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Instructors reporting difficulty detecting AI-assisted writing</w:t>
            </w:r>
          </w:p>
        </w:tc>
        <w:tc>
          <w:tcPr>
            <w:tcW w:w="4320" w:type="dxa"/>
            <w:tcBorders>
              <w:insideH w:val="nil"/>
              <w:insideV w:val="nil"/>
              <w:tl2br w:val="nil"/>
              <w:tr2bl w:val="nil"/>
            </w:tcBorders>
            <w:tcMar>
              <w:top w:w="60" w:type="dxa"/>
              <w:left w:w="80" w:type="dxa"/>
              <w:bottom w:w="60" w:type="dxa"/>
              <w:right w:w="80" w:type="dxa"/>
            </w:tcMar>
            <w:vAlign w:val="center"/>
          </w:tcPr>
          <w:p w14:paraId="0AB0D0B2">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47%</w:t>
            </w:r>
          </w:p>
        </w:tc>
      </w:tr>
      <w:tr w14:paraId="425F6D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83" w:type="dxa"/>
            <w:tcBorders>
              <w:insideH w:val="nil"/>
              <w:insideV w:val="nil"/>
              <w:tl2br w:val="nil"/>
              <w:tr2bl w:val="nil"/>
            </w:tcBorders>
            <w:tcMar>
              <w:top w:w="60" w:type="dxa"/>
              <w:left w:w="80" w:type="dxa"/>
              <w:bottom w:w="60" w:type="dxa"/>
              <w:right w:w="80" w:type="dxa"/>
            </w:tcMar>
            <w:vAlign w:val="center"/>
          </w:tcPr>
          <w:p w14:paraId="62C996C5">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Students preferring clear disclosure rules over bans</w:t>
            </w:r>
          </w:p>
        </w:tc>
        <w:tc>
          <w:tcPr>
            <w:tcW w:w="4320" w:type="dxa"/>
            <w:tcBorders>
              <w:insideH w:val="nil"/>
              <w:insideV w:val="nil"/>
              <w:tl2br w:val="nil"/>
              <w:tr2bl w:val="nil"/>
            </w:tcBorders>
            <w:tcMar>
              <w:top w:w="60" w:type="dxa"/>
              <w:left w:w="80" w:type="dxa"/>
              <w:bottom w:w="60" w:type="dxa"/>
              <w:right w:w="80" w:type="dxa"/>
            </w:tcMar>
            <w:vAlign w:val="center"/>
          </w:tcPr>
          <w:p w14:paraId="4348A52F">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68%</w:t>
            </w:r>
          </w:p>
        </w:tc>
      </w:tr>
    </w:tbl>
    <w:p w14:paraId="411374D2">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Note. Percentages refer to respondents/students in the survey described in the table.</w:t>
      </w:r>
    </w:p>
    <w:p w14:paraId="3A958833">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C. Student Planning Space (optional)</w:t>
      </w:r>
    </w:p>
    <w:p w14:paraId="56CDE86C">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Claim:</w:t>
      </w:r>
    </w:p>
    <w:p w14:paraId="60A0D09E">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Evidence to use (from briefs/table):</w:t>
      </w:r>
    </w:p>
    <w:p w14:paraId="2F4673D9">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Reasoning (why evidence supports claim):</w:t>
      </w:r>
    </w:p>
    <w:p w14:paraId="7DF674DB">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Counterargument + rebuttal:</w:t>
      </w:r>
    </w:p>
    <w:p w14:paraId="14EF7F13">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Outline (3–5 bullets):</w:t>
      </w:r>
    </w:p>
    <w:p w14:paraId="7AC32623">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 D. Practice Task B2 Packet</w:t>
      </w:r>
    </w:p>
    <w:p w14:paraId="3EB55ABB">
      <w:pPr>
        <w:spacing w:before="0" w:after="60" w:line="240" w:lineRule="auto"/>
        <w:jc w:val="both"/>
        <w:rPr>
          <w:rFonts w:hint="default"/>
          <w:b/>
          <w:bCs/>
          <w:color w:val="auto"/>
          <w:sz w:val="20"/>
          <w:szCs w:val="20"/>
          <w:highlight w:val="none"/>
        </w:rPr>
      </w:pPr>
      <w:r>
        <w:rPr>
          <w:rFonts w:hint="default" w:ascii="Times New Roman" w:hAnsi="Times New Roman" w:eastAsia="Times New Roman"/>
          <w:b/>
          <w:bCs/>
          <w:color w:val="auto"/>
          <w:sz w:val="21"/>
          <w:szCs w:val="20"/>
          <w:highlight w:val="none"/>
        </w:rPr>
        <w:t>Issue: Should cities implement congestion pricing in downtown areas to reduce traffic and emissions?</w:t>
      </w:r>
    </w:p>
    <w:p w14:paraId="7F37587C">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Task type: Source-based academic argumentation.</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Target length: 250–350 words.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Sources: Two opinion briefs + one data snippet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Core requirements: claim; integrate both briefs and table; explain reasoning; address one counterargument and rebuttal.</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Practice timing: Draft 1 (50 min) + Review (15 min) + Draft 2 (35 min).</w:t>
      </w:r>
    </w:p>
    <w:p w14:paraId="1DA4401E">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A. Student Writing Prompt (pasteable)</w:t>
      </w:r>
    </w:p>
    <w:p w14:paraId="341C3050">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Write an academic argument essay responding to the issue above.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1) State a clear claim.</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2) Use ideas and evidence from both briefs and the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3) Explain why your evidence supports your claim (warrants).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4) Address at least one counterargument and rebut it.</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5) Cite sources with in-text markers: (Brief 1), (Brief 2), (Table).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6) Keep an academic tone and coherent paragraph structure.</w:t>
      </w:r>
    </w:p>
    <w:p w14:paraId="08335D43">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B. Source Packet</w:t>
      </w:r>
    </w:p>
    <w:p w14:paraId="04477F0A">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Brief 1</w:t>
      </w:r>
    </w:p>
    <w:p w14:paraId="50DAF52A">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Cities facing congestion and emissions increasingly consider congestion pricing in downtown areas. Supporters argue that pricing aligns private travel decisions with social costs, reducing traffic, improving air quality, and increasing bus reliability. They note that when road space is scarce, pricing is a transparent method to allocate demand and fund public transit improvements. If revenue is reinvested in affordable transit and targeted rebates, proponents claim the policy can be progressive rather than regressive. They also emphasize that congestion pricing can produce predictable travel times, benefiting logistics and emergency services. In this view, the policy is not anti-car; it is pro-efficiency and pro-public goods.</w:t>
      </w:r>
    </w:p>
    <w:p w14:paraId="367A2F9B">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Brief 2</w:t>
      </w:r>
    </w:p>
    <w:p w14:paraId="7C10E692">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Critics of congestion pricing argue that it can unfairly burden low-income workers who have inflexible schedules or limited transit access. They worry that wealthier drivers will simply pay the fee, while others face longer commutes or reduced job opportunities. Small businesses may experience reduced customer visits if driving becomes more expensive, and traffic may be displaced to surrounding neighborhoods. Critics also question governance: if revenue is not transparently managed, the policy may erode trust. They propose improving transit first, expanding park-and-ride options, and piloting time-limited pricing with strong equity safeguards before full implementation.</w:t>
      </w:r>
    </w:p>
    <w:p w14:paraId="72713B16">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Data snippet (Table B2): Pilot and survey indicators</w:t>
      </w:r>
    </w:p>
    <w:tbl>
      <w:tblPr>
        <w:tblStyle w:val="34"/>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61"/>
        <w:gridCol w:w="4320"/>
      </w:tblGrid>
      <w:tr w14:paraId="79B58D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5061"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5BAC00CD">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Indicator</w:t>
            </w:r>
          </w:p>
        </w:tc>
        <w:tc>
          <w:tcPr>
            <w:tcW w:w="4320"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758CF564">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Result</w:t>
            </w:r>
          </w:p>
        </w:tc>
      </w:tr>
      <w:tr w14:paraId="76B1B2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61" w:type="dxa"/>
            <w:tcBorders>
              <w:top w:val="single" w:color="auto" w:sz="12" w:space="0"/>
              <w:insideH w:val="nil"/>
              <w:insideV w:val="nil"/>
            </w:tcBorders>
            <w:tcMar>
              <w:top w:w="60" w:type="dxa"/>
              <w:left w:w="80" w:type="dxa"/>
              <w:bottom w:w="60" w:type="dxa"/>
              <w:right w:w="80" w:type="dxa"/>
            </w:tcMar>
            <w:vAlign w:val="center"/>
          </w:tcPr>
          <w:p w14:paraId="24F83BF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Average downtown travel time change after pilot</w:t>
            </w:r>
          </w:p>
        </w:tc>
        <w:tc>
          <w:tcPr>
            <w:tcW w:w="4320" w:type="dxa"/>
            <w:tcBorders>
              <w:top w:val="single" w:color="auto" w:sz="12" w:space="0"/>
              <w:insideH w:val="nil"/>
              <w:insideV w:val="nil"/>
            </w:tcBorders>
            <w:tcMar>
              <w:top w:w="60" w:type="dxa"/>
              <w:left w:w="80" w:type="dxa"/>
              <w:bottom w:w="60" w:type="dxa"/>
              <w:right w:w="80" w:type="dxa"/>
            </w:tcMar>
            <w:vAlign w:val="center"/>
          </w:tcPr>
          <w:p w14:paraId="54760BB0">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−12%</w:t>
            </w:r>
          </w:p>
        </w:tc>
      </w:tr>
      <w:tr w14:paraId="0B49E8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61" w:type="dxa"/>
            <w:tcBorders>
              <w:insideH w:val="nil"/>
              <w:insideV w:val="nil"/>
              <w:tl2br w:val="nil"/>
              <w:tr2bl w:val="nil"/>
            </w:tcBorders>
            <w:tcMar>
              <w:top w:w="60" w:type="dxa"/>
              <w:left w:w="80" w:type="dxa"/>
              <w:bottom w:w="60" w:type="dxa"/>
              <w:right w:w="80" w:type="dxa"/>
            </w:tcMar>
            <w:vAlign w:val="center"/>
          </w:tcPr>
          <w:p w14:paraId="7485FA68">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Bus on-time performance change</w:t>
            </w:r>
          </w:p>
        </w:tc>
        <w:tc>
          <w:tcPr>
            <w:tcW w:w="4320" w:type="dxa"/>
            <w:tcBorders>
              <w:insideH w:val="nil"/>
              <w:insideV w:val="nil"/>
              <w:tl2br w:val="nil"/>
              <w:tr2bl w:val="nil"/>
            </w:tcBorders>
            <w:tcMar>
              <w:top w:w="60" w:type="dxa"/>
              <w:left w:w="80" w:type="dxa"/>
              <w:bottom w:w="60" w:type="dxa"/>
              <w:right w:w="80" w:type="dxa"/>
            </w:tcMar>
            <w:vAlign w:val="center"/>
          </w:tcPr>
          <w:p w14:paraId="567F23A9">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+18%</w:t>
            </w:r>
          </w:p>
        </w:tc>
      </w:tr>
      <w:tr w14:paraId="0C6F2E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61" w:type="dxa"/>
            <w:tcBorders>
              <w:insideH w:val="nil"/>
              <w:insideV w:val="nil"/>
              <w:tl2br w:val="nil"/>
              <w:tr2bl w:val="nil"/>
            </w:tcBorders>
            <w:tcMar>
              <w:top w:w="60" w:type="dxa"/>
              <w:left w:w="80" w:type="dxa"/>
              <w:bottom w:w="60" w:type="dxa"/>
              <w:right w:w="80" w:type="dxa"/>
            </w:tcMar>
            <w:vAlign w:val="center"/>
          </w:tcPr>
          <w:p w14:paraId="514C8AF1">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Low-income commuters reporting higher cost burden</w:t>
            </w:r>
          </w:p>
        </w:tc>
        <w:tc>
          <w:tcPr>
            <w:tcW w:w="4320" w:type="dxa"/>
            <w:tcBorders>
              <w:insideH w:val="nil"/>
              <w:insideV w:val="nil"/>
              <w:tl2br w:val="nil"/>
              <w:tr2bl w:val="nil"/>
            </w:tcBorders>
            <w:tcMar>
              <w:top w:w="60" w:type="dxa"/>
              <w:left w:w="80" w:type="dxa"/>
              <w:bottom w:w="60" w:type="dxa"/>
              <w:right w:w="80" w:type="dxa"/>
            </w:tcMar>
            <w:vAlign w:val="center"/>
          </w:tcPr>
          <w:p w14:paraId="57639F5B">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34%</w:t>
            </w:r>
          </w:p>
        </w:tc>
      </w:tr>
      <w:tr w14:paraId="3FB105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61" w:type="dxa"/>
            <w:tcBorders>
              <w:insideH w:val="nil"/>
              <w:insideV w:val="nil"/>
              <w:tl2br w:val="nil"/>
              <w:tr2bl w:val="nil"/>
            </w:tcBorders>
            <w:tcMar>
              <w:top w:w="60" w:type="dxa"/>
              <w:left w:w="80" w:type="dxa"/>
              <w:bottom w:w="60" w:type="dxa"/>
              <w:right w:w="80" w:type="dxa"/>
            </w:tcMar>
            <w:vAlign w:val="center"/>
          </w:tcPr>
          <w:p w14:paraId="74791DB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Residents reporting improved air quality perception</w:t>
            </w:r>
          </w:p>
        </w:tc>
        <w:tc>
          <w:tcPr>
            <w:tcW w:w="4320" w:type="dxa"/>
            <w:tcBorders>
              <w:insideH w:val="nil"/>
              <w:insideV w:val="nil"/>
              <w:tl2br w:val="nil"/>
              <w:tr2bl w:val="nil"/>
            </w:tcBorders>
            <w:tcMar>
              <w:top w:w="60" w:type="dxa"/>
              <w:left w:w="80" w:type="dxa"/>
              <w:bottom w:w="60" w:type="dxa"/>
              <w:right w:w="80" w:type="dxa"/>
            </w:tcMar>
            <w:vAlign w:val="center"/>
          </w:tcPr>
          <w:p w14:paraId="2E8C02DA">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48%</w:t>
            </w:r>
          </w:p>
        </w:tc>
      </w:tr>
      <w:tr w14:paraId="7414DD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61" w:type="dxa"/>
            <w:tcBorders>
              <w:insideH w:val="nil"/>
              <w:insideV w:val="nil"/>
              <w:tl2br w:val="nil"/>
              <w:tr2bl w:val="nil"/>
            </w:tcBorders>
            <w:tcMar>
              <w:top w:w="60" w:type="dxa"/>
              <w:left w:w="80" w:type="dxa"/>
              <w:bottom w:w="60" w:type="dxa"/>
              <w:right w:w="80" w:type="dxa"/>
            </w:tcMar>
            <w:vAlign w:val="center"/>
          </w:tcPr>
          <w:p w14:paraId="2130B60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Support increases when revenue earmarked for transit</w:t>
            </w:r>
          </w:p>
        </w:tc>
        <w:tc>
          <w:tcPr>
            <w:tcW w:w="4320" w:type="dxa"/>
            <w:tcBorders>
              <w:insideH w:val="nil"/>
              <w:insideV w:val="nil"/>
              <w:tl2br w:val="nil"/>
              <w:tr2bl w:val="nil"/>
            </w:tcBorders>
            <w:tcMar>
              <w:top w:w="60" w:type="dxa"/>
              <w:left w:w="80" w:type="dxa"/>
              <w:bottom w:w="60" w:type="dxa"/>
              <w:right w:w="80" w:type="dxa"/>
            </w:tcMar>
            <w:vAlign w:val="center"/>
          </w:tcPr>
          <w:p w14:paraId="68A2A750">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62%</w:t>
            </w:r>
          </w:p>
        </w:tc>
      </w:tr>
    </w:tbl>
    <w:p w14:paraId="6B330C6A">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Note. Percentages refer to respondents/students in the survey described in the table.</w:t>
      </w:r>
    </w:p>
    <w:p w14:paraId="75A6A52E">
      <w:pPr>
        <w:keepNext/>
        <w:spacing w:before="180" w:after="60" w:line="240" w:lineRule="auto"/>
        <w:jc w:val="left"/>
        <w:rPr>
          <w:rFonts w:hint="default"/>
          <w:color w:val="auto"/>
          <w:sz w:val="20"/>
          <w:szCs w:val="20"/>
          <w:highlight w:val="none"/>
        </w:rPr>
      </w:pPr>
      <w:r>
        <w:rPr>
          <w:rFonts w:hint="default" w:ascii="Arial" w:hAnsi="Arial" w:eastAsia="Arial"/>
          <w:b/>
          <w:color w:val="auto"/>
          <w:sz w:val="22"/>
          <w:szCs w:val="20"/>
          <w:highlight w:val="none"/>
        </w:rPr>
        <w:t>C. Student Planning Space (optional)</w:t>
      </w:r>
    </w:p>
    <w:p w14:paraId="623F95A7">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Claim:</w:t>
      </w:r>
    </w:p>
    <w:p w14:paraId="0A380D9D">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Evidence to use (from briefs/table):</w:t>
      </w:r>
    </w:p>
    <w:p w14:paraId="5020B565">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Reasoning (why evidence supports claim):</w:t>
      </w:r>
    </w:p>
    <w:p w14:paraId="4F045D2A">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Counterargument + rebuttal:</w:t>
      </w:r>
    </w:p>
    <w:p w14:paraId="490CE228">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Outline (3–5 bullets):</w:t>
      </w:r>
    </w:p>
    <w:p w14:paraId="29CA8672">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 E1. RA-LLM Prompt Template (Rubric-Anchored)</w:t>
      </w:r>
    </w:p>
    <w:p w14:paraId="285D8562">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System/Developer guardrails:</w:t>
      </w:r>
      <w:r>
        <w:rPr>
          <w:rFonts w:hint="default" w:ascii="Times New Roman" w:hAnsi="Times New Roman" w:eastAsia="Times New Roman"/>
          <w:color w:val="auto"/>
          <w:sz w:val="21"/>
          <w:szCs w:val="20"/>
          <w:highlight w:val="none"/>
        </w:rPr>
        <w:br w:type="textWrapping"/>
      </w:r>
      <w:r>
        <w:rPr>
          <w:rFonts w:hint="eastAsia" w:ascii="Times New Roman" w:hAnsi="Times New Roman" w:eastAsia="Times New Roman"/>
          <w:color w:val="auto"/>
          <w:sz w:val="21"/>
          <w:szCs w:val="20"/>
          <w:highlight w:val="none"/>
          <w:lang w:val="en-US" w:eastAsia="zh-CN"/>
        </w:rPr>
        <w:t xml:space="preserve">- </w:t>
      </w:r>
      <w:r>
        <w:rPr>
          <w:rFonts w:hint="default" w:ascii="Times New Roman" w:hAnsi="Times New Roman" w:eastAsia="Times New Roman"/>
          <w:color w:val="auto"/>
          <w:sz w:val="21"/>
          <w:szCs w:val="20"/>
          <w:highlight w:val="none"/>
        </w:rPr>
        <w:t>Provide feedback only; do not rewrite the full essay.</w:t>
      </w:r>
      <w:r>
        <w:rPr>
          <w:rFonts w:hint="default" w:ascii="Times New Roman" w:hAnsi="Times New Roman" w:eastAsia="Times New Roman"/>
          <w:color w:val="auto"/>
          <w:sz w:val="21"/>
          <w:szCs w:val="20"/>
          <w:highlight w:val="none"/>
        </w:rPr>
        <w:br w:type="textWrapping"/>
      </w:r>
      <w:r>
        <w:rPr>
          <w:rFonts w:hint="eastAsia" w:ascii="Times New Roman" w:hAnsi="Times New Roman" w:eastAsia="Times New Roman"/>
          <w:color w:val="auto"/>
          <w:sz w:val="21"/>
          <w:szCs w:val="20"/>
          <w:highlight w:val="none"/>
          <w:lang w:val="en-US" w:eastAsia="zh-CN"/>
        </w:rPr>
        <w:t xml:space="preserve">- </w:t>
      </w:r>
      <w:r>
        <w:rPr>
          <w:rFonts w:hint="default" w:ascii="Times New Roman" w:hAnsi="Times New Roman" w:eastAsia="Times New Roman"/>
          <w:color w:val="auto"/>
          <w:sz w:val="21"/>
          <w:szCs w:val="20"/>
          <w:highlight w:val="none"/>
        </w:rPr>
        <w:t>Verify numerical statements against the provided table; do not invent numbers.</w:t>
      </w:r>
      <w:r>
        <w:rPr>
          <w:rFonts w:hint="default" w:ascii="Times New Roman" w:hAnsi="Times New Roman" w:eastAsia="Times New Roman"/>
          <w:color w:val="auto"/>
          <w:sz w:val="21"/>
          <w:szCs w:val="20"/>
          <w:highlight w:val="none"/>
        </w:rPr>
        <w:br w:type="textWrapping"/>
      </w:r>
      <w:r>
        <w:rPr>
          <w:rFonts w:hint="eastAsia" w:ascii="Times New Roman" w:hAnsi="Times New Roman" w:eastAsia="Times New Roman"/>
          <w:color w:val="auto"/>
          <w:sz w:val="21"/>
          <w:szCs w:val="20"/>
          <w:highlight w:val="none"/>
          <w:lang w:val="en-US" w:eastAsia="zh-CN"/>
        </w:rPr>
        <w:t xml:space="preserve">- </w:t>
      </w:r>
      <w:r>
        <w:rPr>
          <w:rFonts w:hint="default" w:ascii="Times New Roman" w:hAnsi="Times New Roman" w:eastAsia="Times New Roman"/>
          <w:color w:val="auto"/>
          <w:sz w:val="21"/>
          <w:szCs w:val="20"/>
          <w:highlight w:val="none"/>
        </w:rPr>
        <w:t>Total output ≤ 400 words.</w:t>
      </w:r>
    </w:p>
    <w:p w14:paraId="089F3FF6">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User prompt (template):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Provide feedback on the student's draft under the six rubric headings (Claim; Evidence; Reasoning/Warrant; Counterargument &amp; Rebuttal; Organization &amp; Cohesion; Academic Language).</w:t>
      </w:r>
      <w:r>
        <w:rPr>
          <w:rFonts w:hint="default" w:ascii="Times New Roman" w:hAnsi="Times New Roman" w:eastAsia="Times New Roman"/>
          <w:color w:val="auto"/>
          <w:sz w:val="21"/>
          <w:szCs w:val="20"/>
          <w:highlight w:val="none"/>
        </w:rPr>
        <w:br w:type="textWrapping"/>
      </w:r>
      <w:r>
        <w:rPr>
          <w:rFonts w:hint="eastAsia" w:ascii="Times New Roman" w:hAnsi="Times New Roman" w:eastAsia="Times New Roman"/>
          <w:color w:val="auto"/>
          <w:sz w:val="21"/>
          <w:szCs w:val="20"/>
          <w:highlight w:val="none"/>
          <w:lang w:val="en-US" w:eastAsia="zh-CN"/>
        </w:rPr>
        <w:t xml:space="preserve">- </w:t>
      </w:r>
      <w:r>
        <w:rPr>
          <w:rFonts w:hint="default" w:ascii="Times New Roman" w:hAnsi="Times New Roman" w:eastAsia="Times New Roman"/>
          <w:color w:val="auto"/>
          <w:sz w:val="21"/>
          <w:szCs w:val="20"/>
          <w:highlight w:val="none"/>
        </w:rPr>
        <w:t>Provide 6–8 numbered suggestions total.</w:t>
      </w:r>
      <w:r>
        <w:rPr>
          <w:rFonts w:hint="default" w:ascii="Times New Roman" w:hAnsi="Times New Roman" w:eastAsia="Times New Roman"/>
          <w:color w:val="auto"/>
          <w:sz w:val="21"/>
          <w:szCs w:val="20"/>
          <w:highlight w:val="none"/>
        </w:rPr>
        <w:br w:type="textWrapping"/>
      </w:r>
      <w:r>
        <w:rPr>
          <w:rFonts w:hint="eastAsia" w:ascii="Times New Roman" w:hAnsi="Times New Roman" w:eastAsia="Times New Roman"/>
          <w:color w:val="auto"/>
          <w:sz w:val="21"/>
          <w:szCs w:val="20"/>
          <w:highlight w:val="none"/>
          <w:lang w:val="en-US" w:eastAsia="zh-CN"/>
        </w:rPr>
        <w:t xml:space="preserve">- </w:t>
      </w:r>
      <w:r>
        <w:rPr>
          <w:rFonts w:hint="default" w:ascii="Times New Roman" w:hAnsi="Times New Roman" w:eastAsia="Times New Roman"/>
          <w:color w:val="auto"/>
          <w:sz w:val="21"/>
          <w:szCs w:val="20"/>
          <w:highlight w:val="none"/>
        </w:rPr>
        <w:t>Prioritize ~70% argument-core dimensions and ~30% organization/language.</w:t>
      </w:r>
      <w:r>
        <w:rPr>
          <w:rFonts w:hint="default" w:ascii="Times New Roman" w:hAnsi="Times New Roman" w:eastAsia="Times New Roman"/>
          <w:color w:val="auto"/>
          <w:sz w:val="21"/>
          <w:szCs w:val="20"/>
          <w:highlight w:val="none"/>
        </w:rPr>
        <w:br w:type="textWrapping"/>
      </w:r>
      <w:r>
        <w:rPr>
          <w:rFonts w:hint="eastAsia" w:ascii="Times New Roman" w:hAnsi="Times New Roman" w:eastAsia="Times New Roman"/>
          <w:color w:val="auto"/>
          <w:sz w:val="21"/>
          <w:szCs w:val="20"/>
          <w:highlight w:val="none"/>
          <w:lang w:val="en-US" w:eastAsia="zh-CN"/>
        </w:rPr>
        <w:t xml:space="preserve">- </w:t>
      </w:r>
      <w:r>
        <w:rPr>
          <w:rFonts w:hint="default" w:ascii="Times New Roman" w:hAnsi="Times New Roman" w:eastAsia="Times New Roman"/>
          <w:color w:val="auto"/>
          <w:sz w:val="21"/>
          <w:szCs w:val="20"/>
          <w:highlight w:val="none"/>
        </w:rPr>
        <w:t>Each suggestion must include: what to change, where/how, and a success criterion.</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Materials: Task sources + table; rubric; student draft.</w:t>
      </w:r>
    </w:p>
    <w:p w14:paraId="150CF514">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 E2. NA-LLM Prompt Template (Matched-Priority, Non-Anchored)</w:t>
      </w:r>
    </w:p>
    <w:p w14:paraId="3649421D">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System/Developer guardrails: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 Provide feedback only; do not rewrite the full essay.</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 Verify numerical statements against the provided table; do not invent numbers.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 Total output ≤ 400 words.</w:t>
      </w:r>
    </w:p>
    <w:p w14:paraId="0CC30360">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User prompt (template):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Provide feedback on the student</w:t>
      </w:r>
      <w:r>
        <w:rPr>
          <w:rFonts w:hint="default" w:ascii="Times New Roman" w:hAnsi="Times New Roman" w:eastAsia="Times New Roman"/>
          <w:color w:val="auto"/>
          <w:sz w:val="21"/>
          <w:szCs w:val="20"/>
          <w:highlight w:val="none"/>
          <w:lang w:val="en-US" w:eastAsia="zh-CN"/>
        </w:rPr>
        <w:t>’</w:t>
      </w:r>
      <w:r>
        <w:rPr>
          <w:rFonts w:hint="default" w:ascii="Times New Roman" w:hAnsi="Times New Roman" w:eastAsia="Times New Roman"/>
          <w:color w:val="auto"/>
          <w:sz w:val="21"/>
          <w:szCs w:val="20"/>
          <w:highlight w:val="none"/>
        </w:rPr>
        <w:t>s draft as a flat numbered list of 6–8 actionable suggestions.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 Do NOT use headings or category labels.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 Prioritize ~70% argument-core and ~30% organization/language.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 Each suggestion must include: what to change, where/how, and a success criterion.</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Materials: Task sources + table; rubric; student draft.</w:t>
      </w:r>
    </w:p>
    <w:p w14:paraId="367A402D">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 F. Control Self-Revision Checklist (15-minute timed)</w:t>
      </w:r>
    </w:p>
    <w:p w14:paraId="53A1680F">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Argument-core: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1) Claim clear and consistent</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2) Evidence from both briefs + table (with citations)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3) Reasoning explains why evidence supports claim</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4) Counterargument + rebuttal</w:t>
      </w:r>
    </w:p>
    <w:p w14:paraId="2666CDB7">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Organization &amp; Language:</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5) Logical paragraphing and transitions</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6) Academic tone and grammar</w:t>
      </w:r>
      <w:r>
        <w:rPr>
          <w:rFonts w:hint="default" w:ascii="Times New Roman" w:hAnsi="Times New Roman" w:eastAsia="Times New Roman"/>
          <w:color w:val="auto"/>
          <w:sz w:val="21"/>
          <w:szCs w:val="20"/>
          <w:highlight w:val="none"/>
        </w:rPr>
        <w:br w:type="textWrapping"/>
      </w:r>
      <w:r>
        <w:rPr>
          <w:rFonts w:hint="default" w:ascii="Times New Roman" w:hAnsi="Times New Roman" w:eastAsia="Times New Roman"/>
          <w:color w:val="auto"/>
          <w:sz w:val="21"/>
          <w:szCs w:val="20"/>
          <w:highlight w:val="none"/>
        </w:rPr>
        <w:t>7) Data accuracy and interpretation</w:t>
      </w:r>
    </w:p>
    <w:p w14:paraId="6A1FF2E2">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Write a 3-bullet revision plan before Draft 2.</w:t>
      </w:r>
    </w:p>
    <w:p w14:paraId="0C5DDC9C">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 G. Analytic Scoring Rubric (0–4 × 6; total 0–24)</w:t>
      </w:r>
    </w:p>
    <w:p w14:paraId="2352248A">
      <w:pPr>
        <w:keepNext/>
        <w:spacing w:before="140" w:after="40" w:line="240" w:lineRule="auto"/>
        <w:jc w:val="left"/>
        <w:rPr>
          <w:rFonts w:hint="default"/>
          <w:color w:val="auto"/>
          <w:sz w:val="20"/>
          <w:szCs w:val="20"/>
          <w:highlight w:val="none"/>
        </w:rPr>
      </w:pPr>
      <w:r>
        <w:rPr>
          <w:rFonts w:ascii="Arial" w:hAnsi="Arial" w:eastAsia="Arial"/>
          <w:b/>
          <w:color w:val="auto"/>
          <w:sz w:val="19"/>
          <w:highlight w:val="none"/>
        </w:rPr>
        <w:t>Table G1.</w:t>
      </w:r>
      <w:r>
        <w:rPr>
          <w:rFonts w:ascii="Times New Roman" w:hAnsi="Times New Roman" w:eastAsia="Times New Roman"/>
          <w:color w:val="auto"/>
          <w:sz w:val="19"/>
          <w:highlight w:val="none"/>
        </w:rPr>
        <w:t xml:space="preserve"> Full analytic scoring rubric (0–4 per dimension; total 0–24), with descriptors for all score points.</w:t>
      </w:r>
    </w:p>
    <w:tbl>
      <w:tblPr>
        <w:tblStyle w:val="34"/>
        <w:tblW w:w="9153"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0"/>
        <w:gridCol w:w="1490"/>
        <w:gridCol w:w="1580"/>
        <w:gridCol w:w="1520"/>
        <w:gridCol w:w="1555"/>
        <w:gridCol w:w="1548"/>
      </w:tblGrid>
      <w:tr w14:paraId="3F7294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1460"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3BCD3889">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Dimension</w:t>
            </w:r>
          </w:p>
        </w:tc>
        <w:tc>
          <w:tcPr>
            <w:tcW w:w="1490"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4F2D5A0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0</w:t>
            </w:r>
          </w:p>
        </w:tc>
        <w:tc>
          <w:tcPr>
            <w:tcW w:w="1580"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3E2CD855">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1</w:t>
            </w:r>
          </w:p>
        </w:tc>
        <w:tc>
          <w:tcPr>
            <w:tcW w:w="1520"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5101CD0F">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2</w:t>
            </w:r>
          </w:p>
        </w:tc>
        <w:tc>
          <w:tcPr>
            <w:tcW w:w="1555"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2DF5E1E2">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3</w:t>
            </w:r>
          </w:p>
        </w:tc>
        <w:tc>
          <w:tcPr>
            <w:tcW w:w="1548"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0A622A8C">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4</w:t>
            </w:r>
          </w:p>
        </w:tc>
      </w:tr>
      <w:tr w14:paraId="568962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60" w:type="dxa"/>
            <w:tcBorders>
              <w:top w:val="single" w:color="auto" w:sz="12" w:space="0"/>
              <w:insideH w:val="nil"/>
              <w:insideV w:val="nil"/>
            </w:tcBorders>
            <w:tcMar>
              <w:top w:w="60" w:type="dxa"/>
              <w:left w:w="80" w:type="dxa"/>
              <w:bottom w:w="60" w:type="dxa"/>
              <w:right w:w="80" w:type="dxa"/>
            </w:tcMar>
            <w:vAlign w:val="center"/>
          </w:tcPr>
          <w:p w14:paraId="0CDC493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Claim</w:t>
            </w:r>
          </w:p>
        </w:tc>
        <w:tc>
          <w:tcPr>
            <w:tcW w:w="1490" w:type="dxa"/>
            <w:tcBorders>
              <w:top w:val="single" w:color="auto" w:sz="12" w:space="0"/>
              <w:insideH w:val="nil"/>
              <w:insideV w:val="nil"/>
            </w:tcBorders>
            <w:tcMar>
              <w:top w:w="60" w:type="dxa"/>
              <w:left w:w="80" w:type="dxa"/>
              <w:bottom w:w="60" w:type="dxa"/>
              <w:right w:w="80" w:type="dxa"/>
            </w:tcMar>
            <w:vAlign w:val="center"/>
          </w:tcPr>
          <w:p w14:paraId="56D94042">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eastAsia" w:eastAsia="宋体"/>
                <w:color w:val="auto"/>
                <w:sz w:val="20"/>
                <w:szCs w:val="20"/>
                <w:highlight w:val="none"/>
                <w:lang w:val="en-US" w:eastAsia="zh-CN"/>
              </w:rPr>
            </w:pPr>
            <w:r>
              <w:rPr>
                <w:rFonts w:hint="default" w:ascii="Times New Roman" w:hAnsi="Times New Roman" w:eastAsia="Times New Roman"/>
                <w:color w:val="auto"/>
                <w:sz w:val="18"/>
                <w:szCs w:val="20"/>
                <w:highlight w:val="none"/>
              </w:rPr>
              <w:t>No clear claim/position</w:t>
            </w:r>
            <w:r>
              <w:rPr>
                <w:rFonts w:hint="eastAsia" w:ascii="Times New Roman" w:hAnsi="Times New Roman" w:eastAsia="Times New Roman"/>
                <w:color w:val="auto"/>
                <w:sz w:val="18"/>
                <w:szCs w:val="20"/>
                <w:highlight w:val="none"/>
                <w:lang w:val="en-US" w:eastAsia="zh-CN"/>
              </w:rPr>
              <w:t>.</w:t>
            </w:r>
          </w:p>
        </w:tc>
        <w:tc>
          <w:tcPr>
            <w:tcW w:w="1580" w:type="dxa"/>
            <w:tcBorders>
              <w:top w:val="single" w:color="auto" w:sz="12" w:space="0"/>
              <w:insideH w:val="nil"/>
              <w:insideV w:val="nil"/>
            </w:tcBorders>
            <w:tcMar>
              <w:top w:w="60" w:type="dxa"/>
              <w:left w:w="80" w:type="dxa"/>
              <w:bottom w:w="60" w:type="dxa"/>
              <w:right w:w="80" w:type="dxa"/>
            </w:tcMar>
            <w:vAlign w:val="center"/>
          </w:tcPr>
          <w:p w14:paraId="67B59365">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Implicit or inconsistent claim; hard to locate.</w:t>
            </w:r>
          </w:p>
        </w:tc>
        <w:tc>
          <w:tcPr>
            <w:tcW w:w="1520" w:type="dxa"/>
            <w:tcBorders>
              <w:top w:val="single" w:color="auto" w:sz="12" w:space="0"/>
              <w:insideH w:val="nil"/>
              <w:insideV w:val="nil"/>
            </w:tcBorders>
            <w:tcMar>
              <w:top w:w="60" w:type="dxa"/>
              <w:left w:w="80" w:type="dxa"/>
              <w:bottom w:w="60" w:type="dxa"/>
              <w:right w:w="80" w:type="dxa"/>
            </w:tcMar>
            <w:vAlign w:val="center"/>
          </w:tcPr>
          <w:p w14:paraId="07C8B701">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Claim present but vague/inconsistent.</w:t>
            </w:r>
          </w:p>
        </w:tc>
        <w:tc>
          <w:tcPr>
            <w:tcW w:w="1555" w:type="dxa"/>
            <w:tcBorders>
              <w:top w:val="single" w:color="auto" w:sz="12" w:space="0"/>
              <w:insideH w:val="nil"/>
              <w:insideV w:val="nil"/>
            </w:tcBorders>
            <w:tcMar>
              <w:top w:w="60" w:type="dxa"/>
              <w:left w:w="80" w:type="dxa"/>
              <w:bottom w:w="60" w:type="dxa"/>
              <w:right w:w="80" w:type="dxa"/>
            </w:tcMar>
            <w:vAlign w:val="center"/>
          </w:tcPr>
          <w:p w14:paraId="64E20464">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Clear claim but uneven focus or specificity.</w:t>
            </w:r>
          </w:p>
        </w:tc>
        <w:tc>
          <w:tcPr>
            <w:tcW w:w="1548" w:type="dxa"/>
            <w:tcBorders>
              <w:top w:val="single" w:color="auto" w:sz="12" w:space="0"/>
              <w:insideH w:val="nil"/>
              <w:insideV w:val="nil"/>
            </w:tcBorders>
            <w:tcMar>
              <w:top w:w="60" w:type="dxa"/>
              <w:left w:w="80" w:type="dxa"/>
              <w:bottom w:w="60" w:type="dxa"/>
              <w:right w:w="80" w:type="dxa"/>
            </w:tcMar>
            <w:vAlign w:val="center"/>
          </w:tcPr>
          <w:p w14:paraId="0EF10B84">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Clear, specific, sustained claim.</w:t>
            </w:r>
          </w:p>
        </w:tc>
      </w:tr>
      <w:tr w14:paraId="09424B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60" w:type="dxa"/>
            <w:tcBorders>
              <w:insideH w:val="nil"/>
              <w:insideV w:val="nil"/>
              <w:tl2br w:val="nil"/>
              <w:tr2bl w:val="nil"/>
            </w:tcBorders>
            <w:tcMar>
              <w:top w:w="60" w:type="dxa"/>
              <w:left w:w="80" w:type="dxa"/>
              <w:bottom w:w="60" w:type="dxa"/>
              <w:right w:w="80" w:type="dxa"/>
            </w:tcMar>
            <w:vAlign w:val="center"/>
          </w:tcPr>
          <w:p w14:paraId="28B41BB1">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Evidence</w:t>
            </w:r>
          </w:p>
        </w:tc>
        <w:tc>
          <w:tcPr>
            <w:tcW w:w="1490" w:type="dxa"/>
            <w:tcBorders>
              <w:insideH w:val="nil"/>
              <w:insideV w:val="nil"/>
              <w:tl2br w:val="nil"/>
              <w:tr2bl w:val="nil"/>
            </w:tcBorders>
            <w:tcMar>
              <w:top w:w="60" w:type="dxa"/>
              <w:left w:w="80" w:type="dxa"/>
              <w:bottom w:w="60" w:type="dxa"/>
              <w:right w:w="80" w:type="dxa"/>
            </w:tcMar>
            <w:vAlign w:val="center"/>
          </w:tcPr>
          <w:p w14:paraId="274FD0B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No/irrelevant evidence; no citation.</w:t>
            </w:r>
          </w:p>
        </w:tc>
        <w:tc>
          <w:tcPr>
            <w:tcW w:w="1580" w:type="dxa"/>
            <w:tcBorders>
              <w:insideH w:val="nil"/>
              <w:insideV w:val="nil"/>
              <w:tl2br w:val="nil"/>
              <w:tr2bl w:val="nil"/>
            </w:tcBorders>
            <w:tcMar>
              <w:top w:w="60" w:type="dxa"/>
              <w:left w:w="80" w:type="dxa"/>
              <w:bottom w:w="60" w:type="dxa"/>
              <w:right w:w="80" w:type="dxa"/>
            </w:tcMar>
            <w:vAlign w:val="center"/>
          </w:tcPr>
          <w:p w14:paraId="38CF81BC">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Minimal evidence; mostly summary; weak citation practice.</w:t>
            </w:r>
          </w:p>
        </w:tc>
        <w:tc>
          <w:tcPr>
            <w:tcW w:w="1520" w:type="dxa"/>
            <w:tcBorders>
              <w:insideH w:val="nil"/>
              <w:insideV w:val="nil"/>
              <w:tl2br w:val="nil"/>
              <w:tr2bl w:val="nil"/>
            </w:tcBorders>
            <w:tcMar>
              <w:top w:w="60" w:type="dxa"/>
              <w:left w:w="80" w:type="dxa"/>
              <w:bottom w:w="60" w:type="dxa"/>
              <w:right w:w="80" w:type="dxa"/>
            </w:tcMar>
            <w:vAlign w:val="center"/>
          </w:tcPr>
          <w:p w14:paraId="1D4AC170">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Some evidence but limited integration/citation.</w:t>
            </w:r>
          </w:p>
        </w:tc>
        <w:tc>
          <w:tcPr>
            <w:tcW w:w="1555" w:type="dxa"/>
            <w:tcBorders>
              <w:insideH w:val="nil"/>
              <w:insideV w:val="nil"/>
              <w:tl2br w:val="nil"/>
              <w:tr2bl w:val="nil"/>
            </w:tcBorders>
            <w:tcMar>
              <w:top w:w="60" w:type="dxa"/>
              <w:left w:w="80" w:type="dxa"/>
              <w:bottom w:w="60" w:type="dxa"/>
              <w:right w:w="80" w:type="dxa"/>
            </w:tcMar>
            <w:vAlign w:val="center"/>
          </w:tcPr>
          <w:p w14:paraId="1FC5C19E">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Adequate evidence with some integration and mostly correct citation.</w:t>
            </w:r>
          </w:p>
        </w:tc>
        <w:tc>
          <w:tcPr>
            <w:tcW w:w="1548" w:type="dxa"/>
            <w:tcBorders>
              <w:insideH w:val="nil"/>
              <w:insideV w:val="nil"/>
              <w:tl2br w:val="nil"/>
              <w:tr2bl w:val="nil"/>
            </w:tcBorders>
            <w:tcMar>
              <w:top w:w="60" w:type="dxa"/>
              <w:left w:w="80" w:type="dxa"/>
              <w:bottom w:w="60" w:type="dxa"/>
              <w:right w:w="80" w:type="dxa"/>
            </w:tcMar>
            <w:vAlign w:val="center"/>
          </w:tcPr>
          <w:p w14:paraId="7C412CC0">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Integrated evidence from briefs + table; appropriately cited.</w:t>
            </w:r>
          </w:p>
        </w:tc>
      </w:tr>
      <w:tr w14:paraId="3FB222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60" w:type="dxa"/>
            <w:tcBorders>
              <w:insideH w:val="nil"/>
              <w:insideV w:val="nil"/>
              <w:tl2br w:val="nil"/>
              <w:tr2bl w:val="nil"/>
            </w:tcBorders>
            <w:tcMar>
              <w:top w:w="60" w:type="dxa"/>
              <w:left w:w="80" w:type="dxa"/>
              <w:bottom w:w="60" w:type="dxa"/>
              <w:right w:w="80" w:type="dxa"/>
            </w:tcMar>
            <w:vAlign w:val="center"/>
          </w:tcPr>
          <w:p w14:paraId="71CDDB5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Reasoning</w:t>
            </w:r>
          </w:p>
        </w:tc>
        <w:tc>
          <w:tcPr>
            <w:tcW w:w="1490" w:type="dxa"/>
            <w:tcBorders>
              <w:insideH w:val="nil"/>
              <w:insideV w:val="nil"/>
              <w:tl2br w:val="nil"/>
              <w:tr2bl w:val="nil"/>
            </w:tcBorders>
            <w:tcMar>
              <w:top w:w="60" w:type="dxa"/>
              <w:left w:w="80" w:type="dxa"/>
              <w:bottom w:w="60" w:type="dxa"/>
              <w:right w:w="80" w:type="dxa"/>
            </w:tcMar>
            <w:vAlign w:val="center"/>
          </w:tcPr>
          <w:p w14:paraId="7810C7F1">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Evidence listed without explanation.</w:t>
            </w:r>
          </w:p>
        </w:tc>
        <w:tc>
          <w:tcPr>
            <w:tcW w:w="1580" w:type="dxa"/>
            <w:tcBorders>
              <w:insideH w:val="nil"/>
              <w:insideV w:val="nil"/>
              <w:tl2br w:val="nil"/>
              <w:tr2bl w:val="nil"/>
            </w:tcBorders>
            <w:tcMar>
              <w:top w:w="60" w:type="dxa"/>
              <w:left w:w="80" w:type="dxa"/>
              <w:bottom w:w="60" w:type="dxa"/>
              <w:right w:w="80" w:type="dxa"/>
            </w:tcMar>
            <w:vAlign w:val="center"/>
          </w:tcPr>
          <w:p w14:paraId="3191FBA3">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Some explanation but mostly assertions; weak links.</w:t>
            </w:r>
          </w:p>
        </w:tc>
        <w:tc>
          <w:tcPr>
            <w:tcW w:w="1520" w:type="dxa"/>
            <w:tcBorders>
              <w:insideH w:val="nil"/>
              <w:insideV w:val="nil"/>
              <w:tl2br w:val="nil"/>
              <w:tr2bl w:val="nil"/>
            </w:tcBorders>
            <w:tcMar>
              <w:top w:w="60" w:type="dxa"/>
              <w:left w:w="80" w:type="dxa"/>
              <w:bottom w:w="60" w:type="dxa"/>
              <w:right w:w="80" w:type="dxa"/>
            </w:tcMar>
            <w:vAlign w:val="center"/>
          </w:tcPr>
          <w:p w14:paraId="3237CA5D">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Some explanation but gaps or weak warrants.</w:t>
            </w:r>
          </w:p>
        </w:tc>
        <w:tc>
          <w:tcPr>
            <w:tcW w:w="1555" w:type="dxa"/>
            <w:tcBorders>
              <w:insideH w:val="nil"/>
              <w:insideV w:val="nil"/>
              <w:tl2br w:val="nil"/>
              <w:tr2bl w:val="nil"/>
            </w:tcBorders>
            <w:tcMar>
              <w:top w:w="60" w:type="dxa"/>
              <w:left w:w="80" w:type="dxa"/>
              <w:bottom w:w="60" w:type="dxa"/>
              <w:right w:w="80" w:type="dxa"/>
            </w:tcMar>
            <w:vAlign w:val="center"/>
          </w:tcPr>
          <w:p w14:paraId="1C8B4912">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Reasoning generally coherent with minor gaps or unsupported leaps.</w:t>
            </w:r>
          </w:p>
        </w:tc>
        <w:tc>
          <w:tcPr>
            <w:tcW w:w="1548" w:type="dxa"/>
            <w:tcBorders>
              <w:insideH w:val="nil"/>
              <w:insideV w:val="nil"/>
              <w:tl2br w:val="nil"/>
              <w:tr2bl w:val="nil"/>
            </w:tcBorders>
            <w:tcMar>
              <w:top w:w="60" w:type="dxa"/>
              <w:left w:w="80" w:type="dxa"/>
              <w:bottom w:w="60" w:type="dxa"/>
              <w:right w:w="80" w:type="dxa"/>
            </w:tcMar>
            <w:vAlign w:val="center"/>
          </w:tcPr>
          <w:p w14:paraId="51D73155">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Explicit, coherent warrants linking evidence to claim.</w:t>
            </w:r>
          </w:p>
        </w:tc>
      </w:tr>
      <w:tr w14:paraId="690096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60" w:type="dxa"/>
            <w:tcBorders>
              <w:insideH w:val="nil"/>
              <w:insideV w:val="nil"/>
              <w:tl2br w:val="nil"/>
              <w:tr2bl w:val="nil"/>
            </w:tcBorders>
            <w:tcMar>
              <w:top w:w="60" w:type="dxa"/>
              <w:left w:w="80" w:type="dxa"/>
              <w:bottom w:w="60" w:type="dxa"/>
              <w:right w:w="80" w:type="dxa"/>
            </w:tcMar>
            <w:vAlign w:val="center"/>
          </w:tcPr>
          <w:p w14:paraId="038C50B0">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Counterargument</w:t>
            </w:r>
          </w:p>
        </w:tc>
        <w:tc>
          <w:tcPr>
            <w:tcW w:w="1490" w:type="dxa"/>
            <w:tcBorders>
              <w:insideH w:val="nil"/>
              <w:insideV w:val="nil"/>
              <w:tl2br w:val="nil"/>
              <w:tr2bl w:val="nil"/>
            </w:tcBorders>
            <w:tcMar>
              <w:top w:w="60" w:type="dxa"/>
              <w:left w:w="80" w:type="dxa"/>
              <w:bottom w:w="60" w:type="dxa"/>
              <w:right w:w="80" w:type="dxa"/>
            </w:tcMar>
            <w:vAlign w:val="center"/>
          </w:tcPr>
          <w:p w14:paraId="4E38433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None.</w:t>
            </w:r>
          </w:p>
        </w:tc>
        <w:tc>
          <w:tcPr>
            <w:tcW w:w="1580" w:type="dxa"/>
            <w:tcBorders>
              <w:insideH w:val="nil"/>
              <w:insideV w:val="nil"/>
              <w:tl2br w:val="nil"/>
              <w:tr2bl w:val="nil"/>
            </w:tcBorders>
            <w:tcMar>
              <w:top w:w="60" w:type="dxa"/>
              <w:left w:w="80" w:type="dxa"/>
              <w:bottom w:w="60" w:type="dxa"/>
              <w:right w:w="80" w:type="dxa"/>
            </w:tcMar>
            <w:vAlign w:val="center"/>
          </w:tcPr>
          <w:p w14:paraId="136ADF5F">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Mentions an opposing view but does not address it.</w:t>
            </w:r>
          </w:p>
        </w:tc>
        <w:tc>
          <w:tcPr>
            <w:tcW w:w="1520" w:type="dxa"/>
            <w:tcBorders>
              <w:insideH w:val="nil"/>
              <w:insideV w:val="nil"/>
              <w:tl2br w:val="nil"/>
              <w:tr2bl w:val="nil"/>
            </w:tcBorders>
            <w:tcMar>
              <w:top w:w="60" w:type="dxa"/>
              <w:left w:w="80" w:type="dxa"/>
              <w:bottom w:w="60" w:type="dxa"/>
              <w:right w:w="80" w:type="dxa"/>
            </w:tcMar>
            <w:vAlign w:val="center"/>
          </w:tcPr>
          <w:p w14:paraId="36E70DF8">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Counterargument present but superficial rebuttal.</w:t>
            </w:r>
          </w:p>
        </w:tc>
        <w:tc>
          <w:tcPr>
            <w:tcW w:w="1555" w:type="dxa"/>
            <w:tcBorders>
              <w:insideH w:val="nil"/>
              <w:insideV w:val="nil"/>
              <w:tl2br w:val="nil"/>
              <w:tr2bl w:val="nil"/>
            </w:tcBorders>
            <w:tcMar>
              <w:top w:w="60" w:type="dxa"/>
              <w:left w:w="80" w:type="dxa"/>
              <w:bottom w:w="60" w:type="dxa"/>
              <w:right w:w="80" w:type="dxa"/>
            </w:tcMar>
            <w:vAlign w:val="center"/>
          </w:tcPr>
          <w:p w14:paraId="4416862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Credible counterargument with partial/uneven rebuttal.</w:t>
            </w:r>
          </w:p>
        </w:tc>
        <w:tc>
          <w:tcPr>
            <w:tcW w:w="1548" w:type="dxa"/>
            <w:tcBorders>
              <w:insideH w:val="nil"/>
              <w:insideV w:val="nil"/>
              <w:tl2br w:val="nil"/>
              <w:tr2bl w:val="nil"/>
            </w:tcBorders>
            <w:tcMar>
              <w:top w:w="60" w:type="dxa"/>
              <w:left w:w="80" w:type="dxa"/>
              <w:bottom w:w="60" w:type="dxa"/>
              <w:right w:w="80" w:type="dxa"/>
            </w:tcMar>
            <w:vAlign w:val="center"/>
          </w:tcPr>
          <w:p w14:paraId="4D36DBDC">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Credible counterargument and well-supported rebuttal.</w:t>
            </w:r>
          </w:p>
        </w:tc>
      </w:tr>
      <w:tr w14:paraId="7C690F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60" w:type="dxa"/>
            <w:tcBorders>
              <w:insideH w:val="nil"/>
              <w:insideV w:val="nil"/>
              <w:tl2br w:val="nil"/>
              <w:tr2bl w:val="nil"/>
            </w:tcBorders>
            <w:tcMar>
              <w:top w:w="60" w:type="dxa"/>
              <w:left w:w="80" w:type="dxa"/>
              <w:bottom w:w="60" w:type="dxa"/>
              <w:right w:w="80" w:type="dxa"/>
            </w:tcMar>
            <w:vAlign w:val="center"/>
          </w:tcPr>
          <w:p w14:paraId="56834FAC">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lang w:val="en-US" w:eastAsia="zh-CN"/>
              </w:rPr>
            </w:pPr>
            <w:r>
              <w:rPr>
                <w:rFonts w:hint="default" w:ascii="Times New Roman" w:hAnsi="Times New Roman" w:eastAsia="Times New Roman"/>
                <w:color w:val="auto"/>
                <w:sz w:val="18"/>
                <w:szCs w:val="20"/>
                <w:highlight w:val="none"/>
              </w:rPr>
              <w:t>Organization</w:t>
            </w:r>
          </w:p>
        </w:tc>
        <w:tc>
          <w:tcPr>
            <w:tcW w:w="1490" w:type="dxa"/>
            <w:tcBorders>
              <w:insideH w:val="nil"/>
              <w:insideV w:val="nil"/>
              <w:tl2br w:val="nil"/>
              <w:tr2bl w:val="nil"/>
            </w:tcBorders>
            <w:tcMar>
              <w:top w:w="60" w:type="dxa"/>
              <w:left w:w="80" w:type="dxa"/>
              <w:bottom w:w="60" w:type="dxa"/>
              <w:right w:w="80" w:type="dxa"/>
            </w:tcMar>
            <w:vAlign w:val="center"/>
          </w:tcPr>
          <w:p w14:paraId="2BE5F51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Disorganized; hard to follow.</w:t>
            </w:r>
          </w:p>
        </w:tc>
        <w:tc>
          <w:tcPr>
            <w:tcW w:w="1580" w:type="dxa"/>
            <w:tcBorders>
              <w:insideH w:val="nil"/>
              <w:insideV w:val="nil"/>
              <w:tl2br w:val="nil"/>
              <w:tr2bl w:val="nil"/>
            </w:tcBorders>
            <w:tcMar>
              <w:top w:w="60" w:type="dxa"/>
              <w:left w:w="80" w:type="dxa"/>
              <w:bottom w:w="60" w:type="dxa"/>
              <w:right w:w="80" w:type="dxa"/>
            </w:tcMar>
            <w:vAlign w:val="center"/>
          </w:tcPr>
          <w:p w14:paraId="7236B7FB">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Loose structure; frequent digressions; limited transitions.</w:t>
            </w:r>
          </w:p>
        </w:tc>
        <w:tc>
          <w:tcPr>
            <w:tcW w:w="1520" w:type="dxa"/>
            <w:tcBorders>
              <w:insideH w:val="nil"/>
              <w:insideV w:val="nil"/>
              <w:tl2br w:val="nil"/>
              <w:tr2bl w:val="nil"/>
            </w:tcBorders>
            <w:tcMar>
              <w:top w:w="60" w:type="dxa"/>
              <w:left w:w="80" w:type="dxa"/>
              <w:bottom w:w="60" w:type="dxa"/>
              <w:right w:w="80" w:type="dxa"/>
            </w:tcMar>
            <w:vAlign w:val="center"/>
          </w:tcPr>
          <w:p w14:paraId="7652CAEF">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Basic structure with weak transitions.</w:t>
            </w:r>
          </w:p>
        </w:tc>
        <w:tc>
          <w:tcPr>
            <w:tcW w:w="1555" w:type="dxa"/>
            <w:tcBorders>
              <w:insideH w:val="nil"/>
              <w:insideV w:val="nil"/>
              <w:tl2br w:val="nil"/>
              <w:tr2bl w:val="nil"/>
            </w:tcBorders>
            <w:tcMar>
              <w:top w:w="60" w:type="dxa"/>
              <w:left w:w="80" w:type="dxa"/>
              <w:bottom w:w="60" w:type="dxa"/>
              <w:right w:w="80" w:type="dxa"/>
            </w:tcMar>
            <w:vAlign w:val="center"/>
          </w:tcPr>
          <w:p w14:paraId="5CB4B1E6">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Clear structure with generally effective paragraphing and transitions.</w:t>
            </w:r>
          </w:p>
        </w:tc>
        <w:tc>
          <w:tcPr>
            <w:tcW w:w="1548" w:type="dxa"/>
            <w:tcBorders>
              <w:insideH w:val="nil"/>
              <w:insideV w:val="nil"/>
              <w:tl2br w:val="nil"/>
              <w:tr2bl w:val="nil"/>
            </w:tcBorders>
            <w:tcMar>
              <w:top w:w="60" w:type="dxa"/>
              <w:left w:w="80" w:type="dxa"/>
              <w:bottom w:w="60" w:type="dxa"/>
              <w:right w:w="80" w:type="dxa"/>
            </w:tcMar>
            <w:vAlign w:val="center"/>
          </w:tcPr>
          <w:p w14:paraId="678BF69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Coherent structure; clear paragraphing; strong cohesion.</w:t>
            </w:r>
          </w:p>
        </w:tc>
      </w:tr>
      <w:tr w14:paraId="107B93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60" w:type="dxa"/>
            <w:tcBorders>
              <w:insideH w:val="nil"/>
              <w:insideV w:val="nil"/>
              <w:tl2br w:val="nil"/>
              <w:tr2bl w:val="nil"/>
            </w:tcBorders>
            <w:tcMar>
              <w:top w:w="60" w:type="dxa"/>
              <w:left w:w="80" w:type="dxa"/>
              <w:bottom w:w="60" w:type="dxa"/>
              <w:right w:w="80" w:type="dxa"/>
            </w:tcMar>
            <w:vAlign w:val="center"/>
          </w:tcPr>
          <w:p w14:paraId="49ABC912">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Academic Language</w:t>
            </w:r>
          </w:p>
        </w:tc>
        <w:tc>
          <w:tcPr>
            <w:tcW w:w="1490" w:type="dxa"/>
            <w:tcBorders>
              <w:insideH w:val="nil"/>
              <w:insideV w:val="nil"/>
              <w:tl2br w:val="nil"/>
              <w:tr2bl w:val="nil"/>
            </w:tcBorders>
            <w:tcMar>
              <w:top w:w="60" w:type="dxa"/>
              <w:left w:w="80" w:type="dxa"/>
              <w:bottom w:w="60" w:type="dxa"/>
              <w:right w:w="80" w:type="dxa"/>
            </w:tcMar>
            <w:vAlign w:val="center"/>
          </w:tcPr>
          <w:p w14:paraId="7B052966">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Frequent errors impede meaning.</w:t>
            </w:r>
          </w:p>
        </w:tc>
        <w:tc>
          <w:tcPr>
            <w:tcW w:w="1580" w:type="dxa"/>
            <w:tcBorders>
              <w:insideH w:val="nil"/>
              <w:insideV w:val="nil"/>
              <w:tl2br w:val="nil"/>
              <w:tr2bl w:val="nil"/>
            </w:tcBorders>
            <w:tcMar>
              <w:top w:w="60" w:type="dxa"/>
              <w:left w:w="80" w:type="dxa"/>
              <w:bottom w:w="60" w:type="dxa"/>
              <w:right w:w="80" w:type="dxa"/>
            </w:tcMar>
            <w:vAlign w:val="center"/>
          </w:tcPr>
          <w:p w14:paraId="40D63AE0">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Many errors or informal tone; meaning sometimes unclear.</w:t>
            </w:r>
          </w:p>
        </w:tc>
        <w:tc>
          <w:tcPr>
            <w:tcW w:w="1520" w:type="dxa"/>
            <w:tcBorders>
              <w:insideH w:val="nil"/>
              <w:insideV w:val="nil"/>
              <w:tl2br w:val="nil"/>
              <w:tr2bl w:val="nil"/>
            </w:tcBorders>
            <w:tcMar>
              <w:top w:w="60" w:type="dxa"/>
              <w:left w:w="80" w:type="dxa"/>
              <w:bottom w:w="60" w:type="dxa"/>
              <w:right w:w="80" w:type="dxa"/>
            </w:tcMar>
            <w:vAlign w:val="center"/>
          </w:tcPr>
          <w:p w14:paraId="1BEFCB74">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Some errors; meaning mostly clear.</w:t>
            </w:r>
          </w:p>
        </w:tc>
        <w:tc>
          <w:tcPr>
            <w:tcW w:w="1555" w:type="dxa"/>
            <w:tcBorders>
              <w:insideH w:val="nil"/>
              <w:insideV w:val="nil"/>
              <w:tl2br w:val="nil"/>
              <w:tr2bl w:val="nil"/>
            </w:tcBorders>
            <w:tcMar>
              <w:top w:w="60" w:type="dxa"/>
              <w:left w:w="80" w:type="dxa"/>
              <w:bottom w:w="60" w:type="dxa"/>
              <w:right w:w="80" w:type="dxa"/>
            </w:tcMar>
            <w:vAlign w:val="center"/>
          </w:tcPr>
          <w:p w14:paraId="2C7CD51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Mostly accurate, academic tone; minor errors.</w:t>
            </w:r>
          </w:p>
        </w:tc>
        <w:tc>
          <w:tcPr>
            <w:tcW w:w="1548" w:type="dxa"/>
            <w:tcBorders>
              <w:insideH w:val="nil"/>
              <w:insideV w:val="nil"/>
              <w:tl2br w:val="nil"/>
              <w:tr2bl w:val="nil"/>
            </w:tcBorders>
            <w:tcMar>
              <w:top w:w="60" w:type="dxa"/>
              <w:left w:w="80" w:type="dxa"/>
              <w:bottom w:w="60" w:type="dxa"/>
              <w:right w:w="80" w:type="dxa"/>
            </w:tcMar>
            <w:vAlign w:val="center"/>
          </w:tcPr>
          <w:p w14:paraId="58C4148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Accurate, formal, varied, reader-friendly language.</w:t>
            </w:r>
          </w:p>
        </w:tc>
      </w:tr>
    </w:tbl>
    <w:p w14:paraId="7D2A4DE4">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Scoring decision rules (brief): assign the single best-fitting score per dimension based on the overall preponderance of evidence; use the lower score when performance is mixed across descriptors; consult both raters’ notes in adjudication.</w:t>
      </w:r>
    </w:p>
    <w:p w14:paraId="0FCF72F5">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 H. Uptake Coding Codebook</w:t>
      </w:r>
    </w:p>
    <w:p w14:paraId="4A6B0D04">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Unit of analysis</w:t>
      </w:r>
    </w:p>
    <w:p w14:paraId="5F88B516">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One feedback suggestion (as segmented in the feedback report).</w:t>
      </w:r>
    </w:p>
    <w:p w14:paraId="6F4BA75F">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Each suggestion was coded along two dimensions:</w:t>
      </w:r>
    </w:p>
    <w:p w14:paraId="587BBBF7">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lang w:val="en-US" w:eastAsia="zh-CN"/>
        </w:rPr>
        <w:t>1.</w:t>
      </w:r>
      <w:r>
        <w:rPr>
          <w:rFonts w:hint="default" w:ascii="Times New Roman" w:hAnsi="Times New Roman" w:eastAsia="Times New Roman"/>
          <w:color w:val="auto"/>
          <w:sz w:val="21"/>
          <w:szCs w:val="20"/>
          <w:highlight w:val="none"/>
        </w:rPr>
        <w:t>Target dimension (what aspect of writing the suggestion addressed)</w:t>
      </w:r>
    </w:p>
    <w:p w14:paraId="55897B39">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lang w:val="en-US" w:eastAsia="zh-CN"/>
        </w:rPr>
        <w:t>2.</w:t>
      </w:r>
      <w:r>
        <w:rPr>
          <w:rFonts w:hint="default" w:ascii="Times New Roman" w:hAnsi="Times New Roman" w:eastAsia="Times New Roman"/>
          <w:color w:val="auto"/>
          <w:sz w:val="21"/>
          <w:szCs w:val="20"/>
          <w:highlight w:val="none"/>
        </w:rPr>
        <w:t>Uptake status (how the student responded in Draft 2)</w:t>
      </w:r>
    </w:p>
    <w:p w14:paraId="0FEF052F">
      <w:pPr>
        <w:keepNext/>
        <w:spacing w:before="140" w:after="40" w:line="240" w:lineRule="auto"/>
        <w:jc w:val="left"/>
        <w:rPr>
          <w:rFonts w:hint="default"/>
          <w:b/>
          <w:bCs/>
          <w:color w:val="auto"/>
          <w:sz w:val="20"/>
          <w:szCs w:val="20"/>
          <w:highlight w:val="none"/>
        </w:rPr>
      </w:pPr>
      <w:r>
        <w:rPr>
          <w:rFonts w:ascii="Arial" w:hAnsi="Arial" w:eastAsia="Arial"/>
          <w:b/>
          <w:color w:val="auto"/>
          <w:sz w:val="19"/>
          <w:highlight w:val="none"/>
        </w:rPr>
        <w:t>Table H1.</w:t>
      </w:r>
      <w:r>
        <w:rPr>
          <w:rFonts w:ascii="Times New Roman" w:hAnsi="Times New Roman" w:eastAsia="Times New Roman"/>
          <w:color w:val="auto"/>
          <w:sz w:val="19"/>
          <w:highlight w:val="none"/>
        </w:rPr>
        <w:t xml:space="preserve"> Target Dimension Codes</w:t>
      </w:r>
    </w:p>
    <w:tbl>
      <w:tblPr>
        <w:tblStyle w:val="34"/>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74"/>
        <w:gridCol w:w="3980"/>
        <w:gridCol w:w="3127"/>
      </w:tblGrid>
      <w:tr w14:paraId="7FDB4F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blHeader/>
          <w:jc w:val="center"/>
        </w:trPr>
        <w:tc>
          <w:tcPr>
            <w:tcW w:w="2274"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6DD8DC4D">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lang w:val="en-US" w:eastAsia="zh-CN"/>
              </w:rPr>
              <w:t>Code</w:t>
            </w:r>
          </w:p>
        </w:tc>
        <w:tc>
          <w:tcPr>
            <w:tcW w:w="3980"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0481C72B">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lang w:val="en-US" w:eastAsia="zh-CN"/>
              </w:rPr>
              <w:t>Operational Definition</w:t>
            </w:r>
          </w:p>
        </w:tc>
        <w:tc>
          <w:tcPr>
            <w:tcW w:w="3127"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4EEB42D1">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lang w:val="en-US" w:eastAsia="zh-CN"/>
              </w:rPr>
              <w:t>Example of Suggestion</w:t>
            </w:r>
          </w:p>
        </w:tc>
      </w:tr>
      <w:tr w14:paraId="143AF9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4" w:type="dxa"/>
            <w:tcBorders>
              <w:top w:val="single" w:color="auto" w:sz="12" w:space="0"/>
              <w:insideH w:val="nil"/>
              <w:insideV w:val="nil"/>
            </w:tcBorders>
            <w:tcMar>
              <w:top w:w="60" w:type="dxa"/>
              <w:left w:w="80" w:type="dxa"/>
              <w:bottom w:w="60" w:type="dxa"/>
              <w:right w:w="80" w:type="dxa"/>
            </w:tcMar>
            <w:vAlign w:val="center"/>
          </w:tcPr>
          <w:p w14:paraId="0E8DF2F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Claim</w:t>
            </w:r>
          </w:p>
        </w:tc>
        <w:tc>
          <w:tcPr>
            <w:tcW w:w="3980" w:type="dxa"/>
            <w:tcBorders>
              <w:top w:val="single" w:color="auto" w:sz="12" w:space="0"/>
              <w:insideH w:val="nil"/>
              <w:insideV w:val="nil"/>
            </w:tcBorders>
            <w:tcMar>
              <w:top w:w="60" w:type="dxa"/>
              <w:left w:w="80" w:type="dxa"/>
              <w:bottom w:w="60" w:type="dxa"/>
              <w:right w:w="80" w:type="dxa"/>
            </w:tcMar>
            <w:vAlign w:val="center"/>
          </w:tcPr>
          <w:p w14:paraId="1FD7582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Targets clarity, specificity, or consistency of thesis</w:t>
            </w:r>
          </w:p>
        </w:tc>
        <w:tc>
          <w:tcPr>
            <w:tcW w:w="3127" w:type="dxa"/>
            <w:tcBorders>
              <w:top w:val="single" w:color="auto" w:sz="12" w:space="0"/>
              <w:insideH w:val="nil"/>
              <w:insideV w:val="nil"/>
            </w:tcBorders>
            <w:tcMar>
              <w:top w:w="60" w:type="dxa"/>
              <w:left w:w="80" w:type="dxa"/>
              <w:bottom w:w="60" w:type="dxa"/>
              <w:right w:w="80" w:type="dxa"/>
            </w:tcMar>
            <w:vAlign w:val="center"/>
          </w:tcPr>
          <w:p w14:paraId="23AD4D1F">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“Clarify your main claim in paragraph 1.”</w:t>
            </w:r>
          </w:p>
        </w:tc>
      </w:tr>
      <w:tr w14:paraId="7F86C8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4" w:type="dxa"/>
            <w:tcBorders>
              <w:insideH w:val="nil"/>
              <w:insideV w:val="nil"/>
              <w:tl2br w:val="nil"/>
              <w:tr2bl w:val="nil"/>
            </w:tcBorders>
            <w:tcMar>
              <w:top w:w="60" w:type="dxa"/>
              <w:left w:w="80" w:type="dxa"/>
              <w:bottom w:w="60" w:type="dxa"/>
              <w:right w:w="80" w:type="dxa"/>
            </w:tcMar>
            <w:vAlign w:val="center"/>
          </w:tcPr>
          <w:p w14:paraId="5AFEE2EA">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Evidence</w:t>
            </w:r>
          </w:p>
        </w:tc>
        <w:tc>
          <w:tcPr>
            <w:tcW w:w="3980" w:type="dxa"/>
            <w:tcBorders>
              <w:insideH w:val="nil"/>
              <w:insideV w:val="nil"/>
              <w:tl2br w:val="nil"/>
              <w:tr2bl w:val="nil"/>
            </w:tcBorders>
            <w:tcMar>
              <w:top w:w="60" w:type="dxa"/>
              <w:left w:w="80" w:type="dxa"/>
              <w:bottom w:w="60" w:type="dxa"/>
              <w:right w:w="80" w:type="dxa"/>
            </w:tcMar>
            <w:vAlign w:val="center"/>
          </w:tcPr>
          <w:p w14:paraId="036042BC">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Targets integration or citation of source material</w:t>
            </w:r>
          </w:p>
        </w:tc>
        <w:tc>
          <w:tcPr>
            <w:tcW w:w="3127" w:type="dxa"/>
            <w:tcBorders>
              <w:insideH w:val="nil"/>
              <w:insideV w:val="nil"/>
              <w:tl2br w:val="nil"/>
              <w:tr2bl w:val="nil"/>
            </w:tcBorders>
            <w:tcMar>
              <w:top w:w="60" w:type="dxa"/>
              <w:left w:w="80" w:type="dxa"/>
              <w:bottom w:w="60" w:type="dxa"/>
              <w:right w:w="80" w:type="dxa"/>
            </w:tcMar>
            <w:vAlign w:val="center"/>
          </w:tcPr>
          <w:p w14:paraId="329A3EE0">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“Integrate data from Table A1 to support your point.”</w:t>
            </w:r>
          </w:p>
        </w:tc>
      </w:tr>
      <w:tr w14:paraId="0931D9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4" w:type="dxa"/>
            <w:tcBorders>
              <w:insideH w:val="nil"/>
              <w:insideV w:val="nil"/>
              <w:tl2br w:val="nil"/>
              <w:tr2bl w:val="nil"/>
            </w:tcBorders>
            <w:tcMar>
              <w:top w:w="60" w:type="dxa"/>
              <w:left w:w="80" w:type="dxa"/>
              <w:bottom w:w="60" w:type="dxa"/>
              <w:right w:w="80" w:type="dxa"/>
            </w:tcMar>
            <w:vAlign w:val="center"/>
          </w:tcPr>
          <w:p w14:paraId="27F62894">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Reasoning</w:t>
            </w:r>
          </w:p>
        </w:tc>
        <w:tc>
          <w:tcPr>
            <w:tcW w:w="3980" w:type="dxa"/>
            <w:tcBorders>
              <w:insideH w:val="nil"/>
              <w:insideV w:val="nil"/>
              <w:tl2br w:val="nil"/>
              <w:tr2bl w:val="nil"/>
            </w:tcBorders>
            <w:tcMar>
              <w:top w:w="60" w:type="dxa"/>
              <w:left w:w="80" w:type="dxa"/>
              <w:bottom w:w="60" w:type="dxa"/>
              <w:right w:w="80" w:type="dxa"/>
            </w:tcMar>
            <w:vAlign w:val="center"/>
          </w:tcPr>
          <w:p w14:paraId="2937F17D">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Targets explanation linking evidence to claim</w:t>
            </w:r>
          </w:p>
        </w:tc>
        <w:tc>
          <w:tcPr>
            <w:tcW w:w="3127" w:type="dxa"/>
            <w:tcBorders>
              <w:insideH w:val="nil"/>
              <w:insideV w:val="nil"/>
              <w:tl2br w:val="nil"/>
              <w:tr2bl w:val="nil"/>
            </w:tcBorders>
            <w:tcMar>
              <w:top w:w="60" w:type="dxa"/>
              <w:left w:w="80" w:type="dxa"/>
              <w:bottom w:w="60" w:type="dxa"/>
              <w:right w:w="80" w:type="dxa"/>
            </w:tcMar>
            <w:vAlign w:val="center"/>
          </w:tcPr>
          <w:p w14:paraId="63935AB9">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“Explain why this statistic supports your argument.”</w:t>
            </w:r>
          </w:p>
        </w:tc>
      </w:tr>
      <w:tr w14:paraId="24C3B2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4" w:type="dxa"/>
            <w:tcBorders>
              <w:insideH w:val="nil"/>
              <w:insideV w:val="nil"/>
              <w:tl2br w:val="nil"/>
              <w:tr2bl w:val="nil"/>
            </w:tcBorders>
            <w:tcMar>
              <w:top w:w="60" w:type="dxa"/>
              <w:left w:w="80" w:type="dxa"/>
              <w:bottom w:w="60" w:type="dxa"/>
              <w:right w:w="80" w:type="dxa"/>
            </w:tcMar>
            <w:vAlign w:val="center"/>
          </w:tcPr>
          <w:p w14:paraId="68978442">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Counterargument</w:t>
            </w:r>
          </w:p>
        </w:tc>
        <w:tc>
          <w:tcPr>
            <w:tcW w:w="3980" w:type="dxa"/>
            <w:tcBorders>
              <w:insideH w:val="nil"/>
              <w:insideV w:val="nil"/>
              <w:tl2br w:val="nil"/>
              <w:tr2bl w:val="nil"/>
            </w:tcBorders>
            <w:tcMar>
              <w:top w:w="60" w:type="dxa"/>
              <w:left w:w="80" w:type="dxa"/>
              <w:bottom w:w="60" w:type="dxa"/>
              <w:right w:w="80" w:type="dxa"/>
            </w:tcMar>
            <w:vAlign w:val="center"/>
          </w:tcPr>
          <w:p w14:paraId="41C8BBFD">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Targets inclusion or strengthening of counterargument</w:t>
            </w:r>
          </w:p>
        </w:tc>
        <w:tc>
          <w:tcPr>
            <w:tcW w:w="3127" w:type="dxa"/>
            <w:tcBorders>
              <w:insideH w:val="nil"/>
              <w:insideV w:val="nil"/>
              <w:tl2br w:val="nil"/>
              <w:tr2bl w:val="nil"/>
            </w:tcBorders>
            <w:tcMar>
              <w:top w:w="60" w:type="dxa"/>
              <w:left w:w="80" w:type="dxa"/>
              <w:bottom w:w="60" w:type="dxa"/>
              <w:right w:w="80" w:type="dxa"/>
            </w:tcMar>
            <w:vAlign w:val="center"/>
          </w:tcPr>
          <w:p w14:paraId="44A3D186">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“Add a counterargument from Brief 2 and respond to it.”</w:t>
            </w:r>
          </w:p>
        </w:tc>
      </w:tr>
      <w:tr w14:paraId="11FBB1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4" w:type="dxa"/>
            <w:tcBorders>
              <w:insideH w:val="nil"/>
              <w:insideV w:val="nil"/>
              <w:tl2br w:val="nil"/>
              <w:tr2bl w:val="nil"/>
            </w:tcBorders>
            <w:tcMar>
              <w:top w:w="60" w:type="dxa"/>
              <w:left w:w="80" w:type="dxa"/>
              <w:bottom w:w="60" w:type="dxa"/>
              <w:right w:w="80" w:type="dxa"/>
            </w:tcMar>
            <w:vAlign w:val="center"/>
          </w:tcPr>
          <w:p w14:paraId="5B6DE10D">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Organization</w:t>
            </w:r>
          </w:p>
        </w:tc>
        <w:tc>
          <w:tcPr>
            <w:tcW w:w="3980" w:type="dxa"/>
            <w:tcBorders>
              <w:insideH w:val="nil"/>
              <w:insideV w:val="nil"/>
              <w:tl2br w:val="nil"/>
              <w:tr2bl w:val="nil"/>
            </w:tcBorders>
            <w:tcMar>
              <w:top w:w="60" w:type="dxa"/>
              <w:left w:w="80" w:type="dxa"/>
              <w:bottom w:w="60" w:type="dxa"/>
              <w:right w:w="80" w:type="dxa"/>
            </w:tcMar>
            <w:vAlign w:val="center"/>
          </w:tcPr>
          <w:p w14:paraId="3E7F8C50">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Targets paragraph structure or transitions</w:t>
            </w:r>
          </w:p>
        </w:tc>
        <w:tc>
          <w:tcPr>
            <w:tcW w:w="3127" w:type="dxa"/>
            <w:tcBorders>
              <w:insideH w:val="nil"/>
              <w:insideV w:val="nil"/>
              <w:tl2br w:val="nil"/>
              <w:tr2bl w:val="nil"/>
            </w:tcBorders>
            <w:tcMar>
              <w:top w:w="60" w:type="dxa"/>
              <w:left w:w="80" w:type="dxa"/>
              <w:bottom w:w="60" w:type="dxa"/>
              <w:right w:w="80" w:type="dxa"/>
            </w:tcMar>
            <w:vAlign w:val="center"/>
          </w:tcPr>
          <w:p w14:paraId="781F3B5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“Add a transition between paragraphs 2 and 3.”</w:t>
            </w:r>
          </w:p>
        </w:tc>
      </w:tr>
      <w:tr w14:paraId="351222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4" w:type="dxa"/>
            <w:tcBorders>
              <w:insideH w:val="nil"/>
              <w:insideV w:val="nil"/>
              <w:tl2br w:val="nil"/>
              <w:tr2bl w:val="nil"/>
            </w:tcBorders>
            <w:tcMar>
              <w:top w:w="60" w:type="dxa"/>
              <w:left w:w="80" w:type="dxa"/>
              <w:bottom w:w="60" w:type="dxa"/>
              <w:right w:w="80" w:type="dxa"/>
            </w:tcMar>
            <w:vAlign w:val="center"/>
          </w:tcPr>
          <w:p w14:paraId="2C155E5E">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Academic Language</w:t>
            </w:r>
          </w:p>
        </w:tc>
        <w:tc>
          <w:tcPr>
            <w:tcW w:w="3980" w:type="dxa"/>
            <w:tcBorders>
              <w:insideH w:val="nil"/>
              <w:insideV w:val="nil"/>
              <w:tl2br w:val="nil"/>
              <w:tr2bl w:val="nil"/>
            </w:tcBorders>
            <w:tcMar>
              <w:top w:w="60" w:type="dxa"/>
              <w:left w:w="80" w:type="dxa"/>
              <w:bottom w:w="60" w:type="dxa"/>
              <w:right w:w="80" w:type="dxa"/>
            </w:tcMar>
            <w:vAlign w:val="center"/>
          </w:tcPr>
          <w:p w14:paraId="4F37BBC8">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Targets tone, grammar, or formal style</w:t>
            </w:r>
          </w:p>
        </w:tc>
        <w:tc>
          <w:tcPr>
            <w:tcW w:w="3127" w:type="dxa"/>
            <w:tcBorders>
              <w:insideH w:val="nil"/>
              <w:insideV w:val="nil"/>
              <w:tl2br w:val="nil"/>
              <w:tr2bl w:val="nil"/>
            </w:tcBorders>
            <w:tcMar>
              <w:top w:w="60" w:type="dxa"/>
              <w:left w:w="80" w:type="dxa"/>
              <w:bottom w:w="60" w:type="dxa"/>
              <w:right w:w="80" w:type="dxa"/>
            </w:tcMar>
            <w:vAlign w:val="center"/>
          </w:tcPr>
          <w:p w14:paraId="74D0610C">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“Revise informal phrasing in paragraph 4.”</w:t>
            </w:r>
          </w:p>
        </w:tc>
      </w:tr>
    </w:tbl>
    <w:p w14:paraId="0DAE405F">
      <w:pPr>
        <w:spacing w:before="0" w:after="60" w:line="240" w:lineRule="auto"/>
        <w:jc w:val="both"/>
        <w:rPr>
          <w:rFonts w:hint="default"/>
          <w:b/>
          <w:bCs/>
          <w:color w:val="auto"/>
          <w:sz w:val="20"/>
          <w:szCs w:val="20"/>
          <w:highlight w:val="none"/>
        </w:rPr>
      </w:pPr>
    </w:p>
    <w:p w14:paraId="6D32D628">
      <w:pPr>
        <w:keepNext/>
        <w:spacing w:before="140" w:after="40" w:line="240" w:lineRule="auto"/>
        <w:jc w:val="left"/>
        <w:rPr>
          <w:rFonts w:hint="default"/>
          <w:b/>
          <w:bCs/>
          <w:color w:val="auto"/>
          <w:sz w:val="20"/>
          <w:szCs w:val="20"/>
          <w:highlight w:val="none"/>
        </w:rPr>
      </w:pPr>
      <w:r>
        <w:rPr>
          <w:rFonts w:ascii="Arial" w:hAnsi="Arial" w:eastAsia="Arial"/>
          <w:b/>
          <w:color w:val="auto"/>
          <w:sz w:val="19"/>
          <w:highlight w:val="none"/>
        </w:rPr>
        <w:t>Table H2.</w:t>
      </w:r>
      <w:r>
        <w:rPr>
          <w:rFonts w:ascii="Times New Roman" w:hAnsi="Times New Roman" w:eastAsia="Times New Roman"/>
          <w:color w:val="auto"/>
          <w:sz w:val="19"/>
          <w:highlight w:val="none"/>
        </w:rPr>
        <w:t xml:space="preserve"> Uptake Status Codes</w:t>
      </w:r>
    </w:p>
    <w:tbl>
      <w:tblPr>
        <w:tblStyle w:val="34"/>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6"/>
        <w:gridCol w:w="3004"/>
        <w:gridCol w:w="2345"/>
        <w:gridCol w:w="2346"/>
      </w:tblGrid>
      <w:tr w14:paraId="5372B0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blHeader/>
          <w:jc w:val="center"/>
        </w:trPr>
        <w:tc>
          <w:tcPr>
            <w:tcW w:w="1686"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4598CE73">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b/>
                <w:color w:val="auto"/>
                <w:sz w:val="18"/>
                <w:highlight w:val="none"/>
                <w:lang w:val="en-US" w:eastAsia="zh-CN"/>
              </w:rPr>
              <w:t>Code</w:t>
            </w:r>
          </w:p>
        </w:tc>
        <w:tc>
          <w:tcPr>
            <w:tcW w:w="3004"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3658BCB9">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lang w:val="en-US" w:eastAsia="zh-CN"/>
              </w:rPr>
              <w:t>Operational Definition</w:t>
            </w:r>
          </w:p>
        </w:tc>
        <w:tc>
          <w:tcPr>
            <w:tcW w:w="2345"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7E0FCA93">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lang w:val="en-US" w:eastAsia="zh-CN"/>
              </w:rPr>
              <w:t>Decision Rule</w:t>
            </w:r>
          </w:p>
        </w:tc>
        <w:tc>
          <w:tcPr>
            <w:tcW w:w="2346"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346A5A3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lang w:val="en-US" w:eastAsia="zh-CN"/>
              </w:rPr>
            </w:pPr>
            <w:r>
              <w:rPr>
                <w:rFonts w:hint="default" w:ascii="Times New Roman" w:hAnsi="Times New Roman" w:eastAsia="Times New Roman"/>
                <w:b/>
                <w:color w:val="auto"/>
                <w:sz w:val="18"/>
                <w:szCs w:val="20"/>
                <w:highlight w:val="none"/>
                <w:lang w:val="en-US" w:eastAsia="zh-CN"/>
              </w:rPr>
              <w:t>Example in Revision</w:t>
            </w:r>
          </w:p>
        </w:tc>
      </w:tr>
      <w:tr w14:paraId="28786F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1686" w:type="dxa"/>
            <w:tcBorders>
              <w:top w:val="single" w:color="auto" w:sz="12" w:space="0"/>
              <w:insideH w:val="nil"/>
              <w:insideV w:val="nil"/>
            </w:tcBorders>
            <w:tcMar>
              <w:top w:w="60" w:type="dxa"/>
              <w:left w:w="80" w:type="dxa"/>
              <w:bottom w:w="60" w:type="dxa"/>
              <w:right w:w="80" w:type="dxa"/>
            </w:tcMar>
            <w:vAlign w:val="center"/>
          </w:tcPr>
          <w:p w14:paraId="351421A2">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Adopted</w:t>
            </w:r>
          </w:p>
        </w:tc>
        <w:tc>
          <w:tcPr>
            <w:tcW w:w="3004" w:type="dxa"/>
            <w:tcBorders>
              <w:top w:val="single" w:color="auto" w:sz="12" w:space="0"/>
              <w:insideH w:val="nil"/>
              <w:insideV w:val="nil"/>
            </w:tcBorders>
            <w:tcMar>
              <w:top w:w="60" w:type="dxa"/>
              <w:left w:w="80" w:type="dxa"/>
              <w:bottom w:w="60" w:type="dxa"/>
              <w:right w:w="80" w:type="dxa"/>
            </w:tcMar>
            <w:vAlign w:val="center"/>
          </w:tcPr>
          <w:p w14:paraId="1696B542">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Substantive implementation aligned with suggestion intent</w:t>
            </w:r>
          </w:p>
        </w:tc>
        <w:tc>
          <w:tcPr>
            <w:tcW w:w="2345" w:type="dxa"/>
            <w:tcBorders>
              <w:top w:val="single" w:color="auto" w:sz="12" w:space="0"/>
              <w:insideH w:val="nil"/>
              <w:insideV w:val="nil"/>
            </w:tcBorders>
            <w:tcMar>
              <w:top w:w="60" w:type="dxa"/>
              <w:left w:w="80" w:type="dxa"/>
              <w:bottom w:w="60" w:type="dxa"/>
              <w:right w:w="80" w:type="dxa"/>
            </w:tcMar>
            <w:vAlign w:val="center"/>
          </w:tcPr>
          <w:p w14:paraId="5690B48E">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lang w:val="en-US" w:eastAsia="zh-CN"/>
              </w:rPr>
            </w:pPr>
            <w:r>
              <w:rPr>
                <w:rFonts w:hint="default" w:ascii="Times New Roman" w:hAnsi="Times New Roman" w:eastAsia="Times New Roman"/>
                <w:color w:val="auto"/>
                <w:sz w:val="18"/>
                <w:szCs w:val="20"/>
                <w:highlight w:val="none"/>
                <w:lang w:val="en-US" w:eastAsia="zh-CN"/>
              </w:rPr>
              <w:t>Revision fully addresses core requirement</w:t>
            </w:r>
          </w:p>
        </w:tc>
        <w:tc>
          <w:tcPr>
            <w:tcW w:w="2346" w:type="dxa"/>
            <w:tcBorders>
              <w:top w:val="single" w:color="auto" w:sz="12" w:space="0"/>
              <w:insideH w:val="nil"/>
              <w:insideV w:val="nil"/>
            </w:tcBorders>
            <w:tcMar>
              <w:top w:w="60" w:type="dxa"/>
              <w:left w:w="80" w:type="dxa"/>
              <w:bottom w:w="60" w:type="dxa"/>
              <w:right w:w="80" w:type="dxa"/>
            </w:tcMar>
            <w:vAlign w:val="center"/>
          </w:tcPr>
          <w:p w14:paraId="4926E535">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Student adds cited statistic and explains its relevance</w:t>
            </w:r>
          </w:p>
        </w:tc>
      </w:tr>
      <w:tr w14:paraId="14B0F3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1686" w:type="dxa"/>
            <w:tcBorders>
              <w:insideH w:val="nil"/>
              <w:insideV w:val="nil"/>
              <w:tl2br w:val="nil"/>
              <w:tr2bl w:val="nil"/>
            </w:tcBorders>
            <w:tcMar>
              <w:top w:w="60" w:type="dxa"/>
              <w:left w:w="80" w:type="dxa"/>
              <w:bottom w:w="60" w:type="dxa"/>
              <w:right w:w="80" w:type="dxa"/>
            </w:tcMar>
            <w:vAlign w:val="center"/>
          </w:tcPr>
          <w:p w14:paraId="6592E5F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Partially adopted</w:t>
            </w:r>
          </w:p>
        </w:tc>
        <w:tc>
          <w:tcPr>
            <w:tcW w:w="3004" w:type="dxa"/>
            <w:tcBorders>
              <w:insideH w:val="nil"/>
              <w:insideV w:val="nil"/>
              <w:tl2br w:val="nil"/>
              <w:tr2bl w:val="nil"/>
            </w:tcBorders>
            <w:tcMar>
              <w:top w:w="60" w:type="dxa"/>
              <w:left w:w="80" w:type="dxa"/>
              <w:bottom w:w="60" w:type="dxa"/>
              <w:right w:w="80" w:type="dxa"/>
            </w:tcMar>
            <w:vAlign w:val="center"/>
          </w:tcPr>
          <w:p w14:paraId="1CB0F882">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Some implementation but incomplete or weak alignment</w:t>
            </w:r>
          </w:p>
        </w:tc>
        <w:tc>
          <w:tcPr>
            <w:tcW w:w="2345" w:type="dxa"/>
            <w:tcBorders>
              <w:insideH w:val="nil"/>
              <w:insideV w:val="nil"/>
              <w:tl2br w:val="nil"/>
              <w:tr2bl w:val="nil"/>
            </w:tcBorders>
            <w:tcMar>
              <w:top w:w="60" w:type="dxa"/>
              <w:left w:w="80" w:type="dxa"/>
              <w:bottom w:w="60" w:type="dxa"/>
              <w:right w:w="80" w:type="dxa"/>
            </w:tcMar>
            <w:vAlign w:val="center"/>
          </w:tcPr>
          <w:p w14:paraId="08333C04">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lang w:val="en-US" w:eastAsia="zh-CN"/>
              </w:rPr>
            </w:pPr>
            <w:r>
              <w:rPr>
                <w:rFonts w:hint="default" w:ascii="Times New Roman" w:hAnsi="Times New Roman" w:eastAsia="Times New Roman"/>
                <w:color w:val="auto"/>
                <w:sz w:val="18"/>
                <w:szCs w:val="20"/>
                <w:highlight w:val="none"/>
                <w:lang w:val="en-US" w:eastAsia="zh-CN"/>
              </w:rPr>
              <w:t>Core element present but missing depth or accuracy</w:t>
            </w:r>
          </w:p>
        </w:tc>
        <w:tc>
          <w:tcPr>
            <w:tcW w:w="2346" w:type="dxa"/>
            <w:tcBorders>
              <w:insideH w:val="nil"/>
              <w:insideV w:val="nil"/>
              <w:tl2br w:val="nil"/>
              <w:tr2bl w:val="nil"/>
            </w:tcBorders>
            <w:tcMar>
              <w:top w:w="60" w:type="dxa"/>
              <w:left w:w="80" w:type="dxa"/>
              <w:bottom w:w="60" w:type="dxa"/>
              <w:right w:w="80" w:type="dxa"/>
            </w:tcMar>
            <w:vAlign w:val="center"/>
          </w:tcPr>
          <w:p w14:paraId="2CEA3CC6">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Student adds statistic but minimal explanation</w:t>
            </w:r>
          </w:p>
        </w:tc>
      </w:tr>
      <w:tr w14:paraId="50B17A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1686" w:type="dxa"/>
            <w:tcBorders>
              <w:insideH w:val="nil"/>
              <w:insideV w:val="nil"/>
              <w:tl2br w:val="nil"/>
              <w:tr2bl w:val="nil"/>
            </w:tcBorders>
            <w:tcMar>
              <w:top w:w="60" w:type="dxa"/>
              <w:left w:w="80" w:type="dxa"/>
              <w:bottom w:w="60" w:type="dxa"/>
              <w:right w:w="80" w:type="dxa"/>
            </w:tcMar>
            <w:vAlign w:val="center"/>
          </w:tcPr>
          <w:p w14:paraId="325D7D0E">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Ignored</w:t>
            </w:r>
          </w:p>
        </w:tc>
        <w:tc>
          <w:tcPr>
            <w:tcW w:w="3004" w:type="dxa"/>
            <w:tcBorders>
              <w:insideH w:val="nil"/>
              <w:insideV w:val="nil"/>
              <w:tl2br w:val="nil"/>
              <w:tr2bl w:val="nil"/>
            </w:tcBorders>
            <w:tcMar>
              <w:top w:w="60" w:type="dxa"/>
              <w:left w:w="80" w:type="dxa"/>
              <w:bottom w:w="60" w:type="dxa"/>
              <w:right w:w="80" w:type="dxa"/>
            </w:tcMar>
            <w:vAlign w:val="center"/>
          </w:tcPr>
          <w:p w14:paraId="71F7514F">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No observable attempt to implement suggestion</w:t>
            </w:r>
          </w:p>
        </w:tc>
        <w:tc>
          <w:tcPr>
            <w:tcW w:w="2345" w:type="dxa"/>
            <w:tcBorders>
              <w:insideH w:val="nil"/>
              <w:insideV w:val="nil"/>
              <w:tl2br w:val="nil"/>
              <w:tr2bl w:val="nil"/>
            </w:tcBorders>
            <w:tcMar>
              <w:top w:w="60" w:type="dxa"/>
              <w:left w:w="80" w:type="dxa"/>
              <w:bottom w:w="60" w:type="dxa"/>
              <w:right w:w="80" w:type="dxa"/>
            </w:tcMar>
            <w:vAlign w:val="center"/>
          </w:tcPr>
          <w:p w14:paraId="01A08126">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lang w:val="en-US" w:eastAsia="zh-CN"/>
              </w:rPr>
            </w:pPr>
            <w:r>
              <w:rPr>
                <w:rFonts w:hint="default" w:ascii="Times New Roman" w:hAnsi="Times New Roman" w:eastAsia="Times New Roman"/>
                <w:color w:val="auto"/>
                <w:sz w:val="18"/>
                <w:szCs w:val="20"/>
                <w:highlight w:val="none"/>
                <w:lang w:val="en-US" w:eastAsia="zh-CN"/>
              </w:rPr>
              <w:t>No textual change related to suggestion</w:t>
            </w:r>
          </w:p>
        </w:tc>
        <w:tc>
          <w:tcPr>
            <w:tcW w:w="2346" w:type="dxa"/>
            <w:tcBorders>
              <w:insideH w:val="nil"/>
              <w:insideV w:val="nil"/>
              <w:tl2br w:val="nil"/>
              <w:tr2bl w:val="nil"/>
            </w:tcBorders>
            <w:tcMar>
              <w:top w:w="60" w:type="dxa"/>
              <w:left w:w="80" w:type="dxa"/>
              <w:bottom w:w="60" w:type="dxa"/>
              <w:right w:w="80" w:type="dxa"/>
            </w:tcMar>
            <w:vAlign w:val="center"/>
          </w:tcPr>
          <w:p w14:paraId="1D2C5213">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Paragraph unchanged</w:t>
            </w:r>
          </w:p>
        </w:tc>
      </w:tr>
      <w:tr w14:paraId="49AC26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1686" w:type="dxa"/>
            <w:tcBorders>
              <w:insideH w:val="nil"/>
              <w:insideV w:val="nil"/>
              <w:tl2br w:val="nil"/>
              <w:tr2bl w:val="nil"/>
            </w:tcBorders>
            <w:tcMar>
              <w:top w:w="60" w:type="dxa"/>
              <w:left w:w="80" w:type="dxa"/>
              <w:bottom w:w="60" w:type="dxa"/>
              <w:right w:w="80" w:type="dxa"/>
            </w:tcMar>
            <w:vAlign w:val="center"/>
          </w:tcPr>
          <w:p w14:paraId="269E4A4F">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 xml:space="preserve">Misinterpreted </w:t>
            </w:r>
          </w:p>
        </w:tc>
        <w:tc>
          <w:tcPr>
            <w:tcW w:w="3004" w:type="dxa"/>
            <w:tcBorders>
              <w:insideH w:val="nil"/>
              <w:insideV w:val="nil"/>
              <w:tl2br w:val="nil"/>
              <w:tr2bl w:val="nil"/>
            </w:tcBorders>
            <w:tcMar>
              <w:top w:w="60" w:type="dxa"/>
              <w:left w:w="80" w:type="dxa"/>
              <w:bottom w:w="60" w:type="dxa"/>
              <w:right w:w="80" w:type="dxa"/>
            </w:tcMar>
            <w:vAlign w:val="center"/>
          </w:tcPr>
          <w:p w14:paraId="509E4AAC">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Surface compliance that violates intended constraint</w:t>
            </w:r>
          </w:p>
        </w:tc>
        <w:tc>
          <w:tcPr>
            <w:tcW w:w="2345" w:type="dxa"/>
            <w:tcBorders>
              <w:insideH w:val="nil"/>
              <w:insideV w:val="nil"/>
              <w:tl2br w:val="nil"/>
              <w:tr2bl w:val="nil"/>
            </w:tcBorders>
            <w:tcMar>
              <w:top w:w="60" w:type="dxa"/>
              <w:left w:w="80" w:type="dxa"/>
              <w:bottom w:w="60" w:type="dxa"/>
              <w:right w:w="80" w:type="dxa"/>
            </w:tcMar>
            <w:vAlign w:val="center"/>
          </w:tcPr>
          <w:p w14:paraId="7D1BBD2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lang w:val="en-US" w:eastAsia="zh-CN"/>
              </w:rPr>
            </w:pPr>
            <w:r>
              <w:rPr>
                <w:rFonts w:hint="default" w:ascii="Times New Roman" w:hAnsi="Times New Roman" w:eastAsia="Times New Roman"/>
                <w:color w:val="auto"/>
                <w:sz w:val="18"/>
                <w:szCs w:val="20"/>
                <w:highlight w:val="none"/>
                <w:lang w:val="en-US" w:eastAsia="zh-CN"/>
              </w:rPr>
              <w:t>Change contradicts suggestion or distorts meaning</w:t>
            </w:r>
          </w:p>
        </w:tc>
        <w:tc>
          <w:tcPr>
            <w:tcW w:w="2346" w:type="dxa"/>
            <w:tcBorders>
              <w:insideH w:val="nil"/>
              <w:insideV w:val="nil"/>
              <w:tl2br w:val="nil"/>
              <w:tr2bl w:val="nil"/>
            </w:tcBorders>
            <w:tcMar>
              <w:top w:w="60" w:type="dxa"/>
              <w:left w:w="80" w:type="dxa"/>
              <w:bottom w:w="60" w:type="dxa"/>
              <w:right w:w="80" w:type="dxa"/>
            </w:tcMar>
            <w:vAlign w:val="center"/>
          </w:tcPr>
          <w:p w14:paraId="56FEED08">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lang w:val="en-US" w:eastAsia="zh-CN"/>
              </w:rPr>
              <w:t>Adds number without warrant or misreads table</w:t>
            </w:r>
          </w:p>
        </w:tc>
      </w:tr>
    </w:tbl>
    <w:p w14:paraId="04057851">
      <w:pPr>
        <w:spacing w:before="0" w:after="60" w:line="240" w:lineRule="auto"/>
        <w:jc w:val="both"/>
        <w:rPr>
          <w:rFonts w:hint="default"/>
          <w:b/>
          <w:bCs/>
          <w:color w:val="auto"/>
          <w:sz w:val="20"/>
          <w:szCs w:val="20"/>
          <w:highlight w:val="none"/>
        </w:rPr>
      </w:pPr>
    </w:p>
    <w:p w14:paraId="73C6B569">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 I. Execution Manual (SOP)</w:t>
      </w:r>
    </w:p>
    <w:p w14:paraId="289BFDB9">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Purpose. This SOP documents the standardized classroom procedures used to implement the four-week unit and to ensure consistent timing, materials handling, and data logging across the three intact classes.</w:t>
      </w:r>
    </w:p>
    <w:p w14:paraId="7E032871">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I.1 Session structure (shared across classes)</w:t>
      </w:r>
    </w:p>
    <w:p w14:paraId="0F208120">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Course meetings followed a fixed 50 + 10 + 50 structure. Assessments (T0, T1) were completed in a single uninterrupted 50-minute proctored block with no feedback. Practice tasks (B1, B2) used a Draft 1 (50 min) → Review (15 min; no writing) → Draft 2 (35 min) workflow across two meetings per task.</w:t>
      </w:r>
    </w:p>
    <w:p w14:paraId="37DA8D90">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I.2 Materials and room setup</w:t>
      </w:r>
    </w:p>
    <w:p w14:paraId="4964D34C">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Each session used: (a) printed or digital task packet (prompt + two briefs + table), (b) student drafting template, and (c) condition materials for the Review phase (RA/NA feedback report or checklist). Students were seated to minimize screen sharing; phones were placed away from desks. Only the approved task packet was accessible during timed blocks.</w:t>
      </w:r>
    </w:p>
    <w:p w14:paraId="77632872">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I.3 Timing script and instructor cues</w:t>
      </w:r>
    </w:p>
    <w:p w14:paraId="2FBB0F79">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Assessments (T0/T1): 0–5 min distribute packet and confirm citations format; 5–50 min writing; 50 min collect and verify submission. Practice Draft 1 (B1/B2, Meeting 1): 0–5 min distribute packet; 5–50 min Draft 1 writing; 50 min submission check. Practice Review–Revision (Meeting 2): 0–15 min Review only (students read feedback/checklist; no typing); 15–50 min revise to Draft 2; the remaining scheduled break time was reserved for routine class transition and submission verification rather than additional revision.</w:t>
      </w:r>
    </w:p>
    <w:p w14:paraId="60926A16">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I.4 Counterbalancing (A→C vs C→A) and order recording</w:t>
      </w:r>
    </w:p>
    <w:p w14:paraId="687EF738">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Task A and Task C served as the assessment prompts and were counterbalanced across T0 and T1 to reduce task-specific bias. Within each class, students were assigned to one of two order sequences: A→C (Task A at T0; Task C at T1) or C→A (Task C at T0; Task A at T1). This refers to the assessment prompt used, not to different versions of the same prompt. The assigned order was recorded on the cover sheet and entered as a covariate.</w:t>
      </w:r>
    </w:p>
    <w:p w14:paraId="5927FB5B">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I.5 Submission protocol and file naming</w:t>
      </w:r>
    </w:p>
    <w:p w14:paraId="3FB1D092">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All drafts were saved immediately after each timed block. Files used a fixed convention: &lt;ClassID&gt;_&lt;StudentID&gt;_&lt;Task&gt;_&lt;Timepoint/Draft&gt;_&lt;Date&gt;.docx (e.g., C1_S023_B1_D1_202</w:t>
      </w:r>
      <w:r>
        <w:rPr>
          <w:rFonts w:hint="eastAsia" w:eastAsia="宋体"/>
          <w:color w:val="auto"/>
          <w:sz w:val="21"/>
          <w:szCs w:val="20"/>
          <w:highlight w:val="none"/>
          <w:lang w:val="en-US" w:eastAsia="zh-CN"/>
        </w:rPr>
        <w:t>5</w:t>
      </w:r>
      <w:r>
        <w:rPr>
          <w:rFonts w:hint="default" w:ascii="Times New Roman" w:hAnsi="Times New Roman" w:eastAsia="Times New Roman"/>
          <w:color w:val="auto"/>
          <w:sz w:val="21"/>
          <w:szCs w:val="20"/>
          <w:highlight w:val="none"/>
        </w:rPr>
        <w:t>-0</w:t>
      </w:r>
      <w:r>
        <w:rPr>
          <w:rFonts w:hint="eastAsia" w:eastAsia="宋体"/>
          <w:color w:val="auto"/>
          <w:sz w:val="21"/>
          <w:szCs w:val="20"/>
          <w:highlight w:val="none"/>
          <w:lang w:val="en-US" w:eastAsia="zh-CN"/>
        </w:rPr>
        <w:t>4</w:t>
      </w:r>
      <w:r>
        <w:rPr>
          <w:rFonts w:hint="default" w:ascii="Times New Roman" w:hAnsi="Times New Roman" w:eastAsia="Times New Roman"/>
          <w:color w:val="auto"/>
          <w:sz w:val="21"/>
          <w:szCs w:val="20"/>
          <w:highlight w:val="none"/>
        </w:rPr>
        <w:t>-0</w:t>
      </w:r>
      <w:r>
        <w:rPr>
          <w:rFonts w:hint="eastAsia" w:eastAsia="宋体"/>
          <w:color w:val="auto"/>
          <w:sz w:val="21"/>
          <w:szCs w:val="20"/>
          <w:highlight w:val="none"/>
          <w:lang w:val="en-US" w:eastAsia="zh-CN"/>
        </w:rPr>
        <w:t>7</w:t>
      </w:r>
      <w:bookmarkStart w:id="0" w:name="_GoBack"/>
      <w:bookmarkEnd w:id="0"/>
      <w:r>
        <w:rPr>
          <w:rFonts w:hint="default" w:ascii="Times New Roman" w:hAnsi="Times New Roman" w:eastAsia="Times New Roman"/>
          <w:color w:val="auto"/>
          <w:sz w:val="21"/>
          <w:szCs w:val="20"/>
          <w:highlight w:val="none"/>
        </w:rPr>
        <w:t>). Instructors verified that each submission included required in-text citations (Brief 1/Brief 2/Table) and that the correct task label was selected.</w:t>
      </w:r>
    </w:p>
    <w:p w14:paraId="32CE1EED">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I.6 Feedback archiving and process logging</w:t>
      </w:r>
    </w:p>
    <w:p w14:paraId="5495470E">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For RA/NA conditions, the exact feedback report shown to each student was archived as plain text using the same file stem as the student draft (e.g., ..._B1_feedback.txt). Revision traces (word count change; normalized Levenshtein distance) were computed between Draft 1 and Draft 2 for each practice task after de-identification.</w:t>
      </w:r>
    </w:p>
    <w:p w14:paraId="44413460">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I.7 Scoring calibration and adjudication</w:t>
      </w:r>
    </w:p>
    <w:p w14:paraId="6C8D6466">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Prior to scoring, raters completed a calibration meeting using a small set of practice essays spanning the score range. All essays were scored blind to condition and timepoint. Disagreements were resolved through discussion; if needed, an adjudicator confirmed the final score following the rubric decision rules in Appendix G.</w:t>
      </w:r>
    </w:p>
    <w:p w14:paraId="087B5B49">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I.8 Week-4 post-unit reflections (decision difficulty and usability)</w:t>
      </w:r>
    </w:p>
    <w:p w14:paraId="7F30B433">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Immediately after T1, students completed a brief 3–5 minute reflection to provide convergent, low-burden context for the decision-overhead account. Items were phrased as simple statements rated on a 5-point agreement scale (</w:t>
      </w:r>
      <w:r>
        <w:rPr>
          <w:rFonts w:hint="default" w:ascii="Times New Roman" w:hAnsi="Times New Roman" w:eastAsia="Times New Roman"/>
          <w:color w:val="auto"/>
          <w:sz w:val="21"/>
          <w:szCs w:val="20"/>
          <w:highlight w:val="none"/>
          <w:lang w:val="en-US" w:eastAsia="zh-CN"/>
        </w:rPr>
        <w:t>For example</w:t>
      </w:r>
      <w:r>
        <w:rPr>
          <w:rFonts w:hint="default" w:ascii="Times New Roman" w:hAnsi="Times New Roman" w:eastAsia="Times New Roman"/>
          <w:color w:val="auto"/>
          <w:sz w:val="21"/>
          <w:szCs w:val="20"/>
          <w:highlight w:val="none"/>
        </w:rPr>
        <w:t>, “It was clear what to revise first during practice revisions”; “The feedback format made it easier to connect suggestions to rubric criteria”; “Using the feedback required a lot of mental effort”). Responses were used descriptively to contextualize the process evidence; they were not treated as primary outcomes.</w:t>
      </w:r>
    </w:p>
    <w:p w14:paraId="54BE2EB8">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 xml:space="preserve">Appendix </w:t>
      </w:r>
      <w:r>
        <w:rPr>
          <w:rFonts w:hint="default" w:ascii="Arial" w:hAnsi="Arial" w:eastAsia="Arial"/>
          <w:b/>
          <w:bCs/>
          <w:color w:val="auto"/>
          <w:sz w:val="22"/>
          <w:szCs w:val="24"/>
          <w:highlight w:val="none"/>
          <w:lang w:val="en-US" w:eastAsia="zh-CN"/>
        </w:rPr>
        <w:t>J</w:t>
      </w:r>
      <w:r>
        <w:rPr>
          <w:rFonts w:hint="default" w:ascii="Arial" w:hAnsi="Arial" w:eastAsia="Arial"/>
          <w:b/>
          <w:bCs/>
          <w:color w:val="auto"/>
          <w:sz w:val="22"/>
          <w:szCs w:val="24"/>
          <w:highlight w:val="none"/>
        </w:rPr>
        <w:t>. Manipulation-Check Anchored Scales</w:t>
      </w:r>
    </w:p>
    <w:p w14:paraId="4E5181CD">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Purpose. Two coders rated each feedback report on five 5-point anchored scales to verify that RA differs from NA in structure</w:t>
      </w:r>
      <w:r>
        <w:rPr>
          <w:rFonts w:hint="eastAsia" w:ascii="Times New Roman" w:hAnsi="Times New Roman" w:eastAsia="Times New Roman"/>
          <w:color w:val="auto"/>
          <w:sz w:val="21"/>
          <w:szCs w:val="20"/>
          <w:highlight w:val="none"/>
          <w:lang w:val="en-US" w:eastAsia="zh-CN"/>
        </w:rPr>
        <w:t xml:space="preserve"> </w:t>
      </w:r>
      <w:r>
        <w:rPr>
          <w:rFonts w:hint="default" w:ascii="Times New Roman" w:hAnsi="Times New Roman" w:eastAsia="Times New Roman"/>
          <w:color w:val="auto"/>
          <w:sz w:val="21"/>
          <w:szCs w:val="20"/>
          <w:highlight w:val="none"/>
        </w:rPr>
        <w:t>while remaining comparable in substantive diagnostic quality. In addition, two minimal objective indicators (word count; suggestions per report) were computed to document content matching. All descriptive results are reported in Table 3 of the main manuscript; this appendix provides the anchored-scale definitions and coding/counting procedure.</w:t>
      </w:r>
    </w:p>
    <w:p w14:paraId="71A8DEE6">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J.1 Materials and sampling</w:t>
      </w:r>
    </w:p>
    <w:p w14:paraId="2E21C311">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A stratified subset of LLM feedback reports was sampled from the two practice tasks (B1 and B2). For each condition (RA vs. NA), we randomly selected 12 reports from B1 and 12 from B2 (M = 24 reports per condition; 48 reports total). All sampled reports were de-identified and presented to coders in randomized order.</w:t>
      </w:r>
    </w:p>
    <w:p w14:paraId="37FA234D">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J.2 Anchored scales and coding rubric</w:t>
      </w:r>
    </w:p>
    <w:p w14:paraId="60160FBD">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 xml:space="preserve">Coders rated each feedback report using five 5-point anchored scales. Three scales captured intended structural properties (Structural navigability; Rubric-alignment visibility; Segmentation clarity), and two captured content comparability (Actionability; Diagnostic </w:t>
      </w:r>
      <w:r>
        <w:rPr>
          <w:rFonts w:hint="eastAsia" w:eastAsia="宋体"/>
          <w:color w:val="auto"/>
          <w:sz w:val="21"/>
          <w:szCs w:val="20"/>
          <w:highlight w:val="none"/>
          <w:lang w:val="en-US" w:eastAsia="zh-CN"/>
        </w:rPr>
        <w:t>depth</w:t>
      </w:r>
      <w:r>
        <w:rPr>
          <w:rFonts w:hint="default" w:ascii="Times New Roman" w:hAnsi="Times New Roman" w:eastAsia="Times New Roman"/>
          <w:color w:val="auto"/>
          <w:sz w:val="21"/>
          <w:szCs w:val="20"/>
          <w:highlight w:val="none"/>
        </w:rPr>
        <w:t>). Anchor points were defined to minimize rater drift and to make the structural manipulation explicit without presupposing improvement in feedback content.</w:t>
      </w:r>
    </w:p>
    <w:p w14:paraId="1A3DC8FA">
      <w:pPr>
        <w:numPr>
          <w:ilvl w:val="0"/>
          <w:numId w:val="7"/>
        </w:numPr>
        <w:spacing w:before="0" w:after="60" w:line="240" w:lineRule="auto"/>
        <w:ind w:leftChars="0" w:firstLineChars="0"/>
        <w:jc w:val="both"/>
        <w:rPr>
          <w:rFonts w:hint="default"/>
          <w:color w:val="auto"/>
          <w:sz w:val="20"/>
          <w:szCs w:val="20"/>
          <w:highlight w:val="none"/>
        </w:rPr>
      </w:pPr>
      <w:r>
        <w:rPr>
          <w:rFonts w:hint="default" w:ascii="Times New Roman" w:hAnsi="Times New Roman" w:eastAsia="Times New Roman"/>
          <w:b/>
          <w:bCs/>
          <w:color w:val="auto"/>
          <w:sz w:val="21"/>
          <w:szCs w:val="20"/>
          <w:highlight w:val="none"/>
        </w:rPr>
        <w:t xml:space="preserve">Structural navigability (1–5): </w:t>
      </w:r>
      <w:r>
        <w:rPr>
          <w:rFonts w:hint="default" w:ascii="Times New Roman" w:hAnsi="Times New Roman" w:eastAsia="Times New Roman"/>
          <w:color w:val="auto"/>
          <w:sz w:val="21"/>
          <w:szCs w:val="20"/>
          <w:highlight w:val="none"/>
        </w:rPr>
        <w:t>1 = difficult to scan; no clear ordering or hierarchy. 3 = partially scannable; some ordering but weak hierarchy. 5 = highly scannable; clear hierarchy and easy prioritization.</w:t>
      </w:r>
    </w:p>
    <w:p w14:paraId="4E34CC17">
      <w:pPr>
        <w:numPr>
          <w:ilvl w:val="0"/>
          <w:numId w:val="7"/>
        </w:numPr>
        <w:spacing w:before="0" w:after="60" w:line="240" w:lineRule="auto"/>
        <w:ind w:leftChars="0" w:firstLineChars="0"/>
        <w:jc w:val="both"/>
        <w:rPr>
          <w:rFonts w:hint="default"/>
          <w:color w:val="auto"/>
          <w:sz w:val="20"/>
          <w:szCs w:val="20"/>
          <w:highlight w:val="none"/>
        </w:rPr>
      </w:pPr>
      <w:r>
        <w:rPr>
          <w:rFonts w:hint="default" w:ascii="Times New Roman" w:hAnsi="Times New Roman" w:eastAsia="Times New Roman"/>
          <w:b/>
          <w:bCs/>
          <w:color w:val="auto"/>
          <w:sz w:val="21"/>
          <w:szCs w:val="20"/>
          <w:highlight w:val="none"/>
        </w:rPr>
        <w:t>Rubric-alignment visibility (1–5):</w:t>
      </w:r>
      <w:r>
        <w:rPr>
          <w:rFonts w:hint="default" w:ascii="Times New Roman" w:hAnsi="Times New Roman" w:eastAsia="Times New Roman"/>
          <w:color w:val="auto"/>
          <w:sz w:val="21"/>
          <w:szCs w:val="20"/>
          <w:highlight w:val="none"/>
        </w:rPr>
        <w:t xml:space="preserve"> 1 = no visible link to rubric criteria. 3 = occasional implicit links. 5 = explicit, consistent mapping to rubric criteria (e.g., headings or criterion labels).</w:t>
      </w:r>
    </w:p>
    <w:p w14:paraId="30BDABDB">
      <w:pPr>
        <w:numPr>
          <w:ilvl w:val="0"/>
          <w:numId w:val="7"/>
        </w:numPr>
        <w:spacing w:before="0" w:after="60" w:line="240" w:lineRule="auto"/>
        <w:ind w:leftChars="0" w:firstLineChars="0"/>
        <w:jc w:val="both"/>
        <w:rPr>
          <w:rFonts w:hint="default"/>
          <w:color w:val="auto"/>
          <w:sz w:val="20"/>
          <w:szCs w:val="20"/>
          <w:highlight w:val="none"/>
        </w:rPr>
      </w:pPr>
      <w:r>
        <w:rPr>
          <w:rFonts w:hint="default" w:ascii="Times New Roman" w:hAnsi="Times New Roman" w:eastAsia="Times New Roman"/>
          <w:b/>
          <w:bCs/>
          <w:color w:val="auto"/>
          <w:sz w:val="21"/>
          <w:szCs w:val="20"/>
          <w:highlight w:val="none"/>
        </w:rPr>
        <w:t>Segmentation clarity (1–5):</w:t>
      </w:r>
      <w:r>
        <w:rPr>
          <w:rFonts w:hint="default" w:ascii="Times New Roman" w:hAnsi="Times New Roman" w:eastAsia="Times New Roman"/>
          <w:color w:val="auto"/>
          <w:sz w:val="21"/>
          <w:szCs w:val="20"/>
          <w:highlight w:val="none"/>
        </w:rPr>
        <w:t xml:space="preserve"> 1 = long, dense blocks; boundaries unclear. 3 = some segmentation but uneven. 5 = consistently segmented units with clear boundaries and labeling.</w:t>
      </w:r>
    </w:p>
    <w:p w14:paraId="3C0AD4BC">
      <w:pPr>
        <w:numPr>
          <w:ilvl w:val="0"/>
          <w:numId w:val="7"/>
        </w:numPr>
        <w:spacing w:before="0" w:after="60" w:line="240" w:lineRule="auto"/>
        <w:ind w:leftChars="0" w:firstLineChars="0"/>
        <w:jc w:val="both"/>
        <w:rPr>
          <w:rFonts w:hint="default"/>
          <w:color w:val="auto"/>
          <w:sz w:val="20"/>
          <w:szCs w:val="20"/>
          <w:highlight w:val="none"/>
        </w:rPr>
      </w:pPr>
      <w:r>
        <w:rPr>
          <w:rFonts w:hint="default" w:ascii="Times New Roman" w:hAnsi="Times New Roman" w:eastAsia="Times New Roman"/>
          <w:b/>
          <w:bCs/>
          <w:color w:val="auto"/>
          <w:sz w:val="21"/>
          <w:szCs w:val="20"/>
          <w:highlight w:val="none"/>
        </w:rPr>
        <w:t xml:space="preserve">Actionability (1–5): </w:t>
      </w:r>
      <w:r>
        <w:rPr>
          <w:rFonts w:hint="default" w:ascii="Times New Roman" w:hAnsi="Times New Roman" w:eastAsia="Times New Roman"/>
          <w:color w:val="auto"/>
          <w:sz w:val="21"/>
          <w:szCs w:val="20"/>
          <w:highlight w:val="none"/>
        </w:rPr>
        <w:t>1 = vague or non-actionable suggestions. 3 = partly actionable with missing specifics. 5 = actionable steps with sufficient specificity to implement.</w:t>
      </w:r>
    </w:p>
    <w:p w14:paraId="5C15ED98">
      <w:pPr>
        <w:numPr>
          <w:ilvl w:val="0"/>
          <w:numId w:val="7"/>
        </w:numPr>
        <w:spacing w:before="0" w:after="60" w:line="240" w:lineRule="auto"/>
        <w:ind w:leftChars="0" w:firstLineChars="0"/>
        <w:jc w:val="both"/>
        <w:rPr>
          <w:rFonts w:hint="default"/>
          <w:color w:val="auto"/>
          <w:sz w:val="20"/>
          <w:szCs w:val="20"/>
          <w:highlight w:val="none"/>
        </w:rPr>
      </w:pPr>
      <w:r>
        <w:rPr>
          <w:rFonts w:hint="default" w:ascii="Times New Roman" w:hAnsi="Times New Roman" w:eastAsia="Times New Roman"/>
          <w:b/>
          <w:bCs/>
          <w:color w:val="auto"/>
          <w:sz w:val="21"/>
          <w:szCs w:val="20"/>
          <w:highlight w:val="none"/>
        </w:rPr>
        <w:t>Diagnostic depth (1–5):</w:t>
      </w:r>
      <w:r>
        <w:rPr>
          <w:rFonts w:hint="default" w:ascii="Times New Roman" w:hAnsi="Times New Roman" w:eastAsia="Times New Roman"/>
          <w:color w:val="auto"/>
          <w:sz w:val="21"/>
          <w:szCs w:val="20"/>
          <w:highlight w:val="none"/>
        </w:rPr>
        <w:t xml:space="preserve"> 1 = surface-level remarks; little diagnosis of underlying problems. 3 = mixed; some diagnosis. 5 = clear diagnosis tied to causes and potential fixes.</w:t>
      </w:r>
    </w:p>
    <w:p w14:paraId="24F740B8">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J.3 Coder training and coding procedure</w:t>
      </w:r>
    </w:p>
    <w:p w14:paraId="1AADECA2">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 xml:space="preserve">Two trained coders (blinded to condition labels) completed a short calibration session prior to formal coding. Calibration used 6 pilot reports not included in the analytic sample (3 RA, 3 NA) to discuss anchor interpretations and resolve disagreements. Coders then independently rated all sampled reports. Disagreements were not adjudicated for the purpose of estimating reliability; descriptive means in Table </w:t>
      </w:r>
      <w:r>
        <w:rPr>
          <w:rFonts w:hint="eastAsia" w:ascii="Times New Roman" w:hAnsi="Times New Roman" w:eastAsia="Times New Roman"/>
          <w:color w:val="auto"/>
          <w:sz w:val="21"/>
          <w:szCs w:val="20"/>
          <w:highlight w:val="none"/>
          <w:lang w:val="en-US" w:eastAsia="zh-CN"/>
        </w:rPr>
        <w:t>3</w:t>
      </w:r>
      <w:r>
        <w:rPr>
          <w:rFonts w:hint="default" w:ascii="Times New Roman" w:hAnsi="Times New Roman" w:eastAsia="Times New Roman"/>
          <w:color w:val="auto"/>
          <w:sz w:val="21"/>
          <w:szCs w:val="20"/>
          <w:highlight w:val="none"/>
        </w:rPr>
        <w:t xml:space="preserve"> use the average of the two coders’ ratings.</w:t>
      </w:r>
    </w:p>
    <w:p w14:paraId="5B2B0D3F">
      <w:pPr>
        <w:keepNext/>
        <w:spacing w:before="180" w:after="60" w:line="240" w:lineRule="auto"/>
        <w:jc w:val="left"/>
        <w:rPr>
          <w:rFonts w:hint="default"/>
          <w:b/>
          <w:bCs/>
          <w:color w:val="auto"/>
          <w:sz w:val="20"/>
          <w:szCs w:val="20"/>
          <w:highlight w:val="none"/>
        </w:rPr>
      </w:pPr>
      <w:r>
        <w:rPr>
          <w:rFonts w:hint="default" w:ascii="Arial" w:hAnsi="Arial" w:eastAsia="Arial"/>
          <w:b/>
          <w:bCs/>
          <w:color w:val="auto"/>
          <w:sz w:val="22"/>
          <w:szCs w:val="20"/>
          <w:highlight w:val="none"/>
        </w:rPr>
        <w:t>J.4 Minimal objective indicators and counting rules</w:t>
      </w:r>
    </w:p>
    <w:p w14:paraId="4103AEE6">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In addition to anchored-scale ratings, we computed two minimal objective indicators to document content matching across RA and NA: (a) word count of the full feedback text and (b) number of distinct suggestions per report. Word count was obtained using the document’s built-in word-count for the exported feedback text (excluding any metadata headers). Suggestions per report was counted by treating each numbered item or bullet as one suggestion; when a single numbered/bulleted item contained multiple actionable steps, it was counted as one suggestion unless steps were separated by semicolons or line breaks into clearly independent actions. If a paragraph contained multiple suggestions without explicit numbering/bullets, each new line break initiating an imperative/action statement (e.g., “Add…”, “Clarify…”, “Provide…”) was counted as a separate suggestion. These objective indicators were used descriptively and are reported in Table 3 of the main manuscript.</w:t>
      </w:r>
    </w:p>
    <w:p w14:paraId="5DF5A4F3">
      <w:pPr>
        <w:keepNext/>
        <w:spacing w:before="180" w:after="60" w:line="240" w:lineRule="auto"/>
        <w:jc w:val="left"/>
        <w:rPr>
          <w:rFonts w:hint="default"/>
          <w:b/>
          <w:bCs/>
          <w:color w:val="auto"/>
          <w:sz w:val="24"/>
          <w:szCs w:val="24"/>
          <w:highlight w:val="none"/>
        </w:rPr>
      </w:pPr>
      <w:r>
        <w:rPr>
          <w:rFonts w:hint="default" w:ascii="Arial" w:hAnsi="Arial" w:eastAsia="Arial"/>
          <w:b/>
          <w:bCs/>
          <w:color w:val="auto"/>
          <w:sz w:val="22"/>
          <w:szCs w:val="24"/>
          <w:highlight w:val="none"/>
        </w:rPr>
        <w:t>Appendix</w:t>
      </w:r>
      <w:r>
        <w:rPr>
          <w:rFonts w:hint="default" w:ascii="Arial" w:hAnsi="Arial" w:eastAsia="Arial"/>
          <w:b/>
          <w:bCs/>
          <w:color w:val="auto"/>
          <w:sz w:val="22"/>
          <w:szCs w:val="24"/>
          <w:highlight w:val="none"/>
          <w:lang w:val="en-US" w:eastAsia="zh-CN"/>
        </w:rPr>
        <w:t xml:space="preserve"> K</w:t>
      </w:r>
      <w:r>
        <w:rPr>
          <w:rFonts w:hint="default" w:ascii="Arial" w:hAnsi="Arial" w:eastAsia="Arial"/>
          <w:b/>
          <w:bCs/>
          <w:color w:val="auto"/>
          <w:sz w:val="22"/>
          <w:szCs w:val="24"/>
          <w:highlight w:val="none"/>
        </w:rPr>
        <w:t>. ANCOVA output (naïve individual-level; transparency)</w:t>
      </w:r>
    </w:p>
    <w:p w14:paraId="2EF28016">
      <w:pPr>
        <w:keepNext/>
        <w:spacing w:before="140" w:after="40" w:line="240" w:lineRule="auto"/>
        <w:jc w:val="left"/>
        <w:rPr>
          <w:rFonts w:hint="default"/>
          <w:b/>
          <w:bCs/>
          <w:color w:val="auto"/>
          <w:sz w:val="20"/>
          <w:szCs w:val="20"/>
          <w:highlight w:val="none"/>
        </w:rPr>
      </w:pPr>
      <w:r>
        <w:rPr>
          <w:rFonts w:ascii="Arial" w:hAnsi="Arial" w:eastAsia="Arial"/>
          <w:b/>
          <w:color w:val="auto"/>
          <w:sz w:val="19"/>
          <w:highlight w:val="none"/>
        </w:rPr>
        <w:t>Table K1.</w:t>
      </w:r>
      <w:r>
        <w:rPr>
          <w:rFonts w:ascii="Times New Roman" w:hAnsi="Times New Roman" w:eastAsia="Times New Roman"/>
          <w:color w:val="auto"/>
          <w:sz w:val="19"/>
          <w:highlight w:val="none"/>
        </w:rPr>
        <w:t xml:space="preserve"> Naïve individual-level ANCOVA output (for transparency; ignores clustering).</w:t>
      </w:r>
    </w:p>
    <w:tbl>
      <w:tblPr>
        <w:tblStyle w:val="34"/>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26"/>
        <w:gridCol w:w="1728"/>
        <w:gridCol w:w="1728"/>
        <w:gridCol w:w="1728"/>
        <w:gridCol w:w="1728"/>
      </w:tblGrid>
      <w:tr w14:paraId="48F475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2526"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176A9103">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Source</w:t>
            </w:r>
          </w:p>
        </w:tc>
        <w:tc>
          <w:tcPr>
            <w:tcW w:w="1728"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65B35FE1">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df</w:t>
            </w:r>
          </w:p>
        </w:tc>
        <w:tc>
          <w:tcPr>
            <w:tcW w:w="1728"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197F09AE">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F</w:t>
            </w:r>
          </w:p>
        </w:tc>
        <w:tc>
          <w:tcPr>
            <w:tcW w:w="1728"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307D0602">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p</w:t>
            </w:r>
          </w:p>
        </w:tc>
        <w:tc>
          <w:tcPr>
            <w:tcW w:w="1728" w:type="dxa"/>
            <w:tcBorders>
              <w:bottom w:val="single" w:color="auto" w:sz="12" w:space="0"/>
              <w:insideH w:val="nil"/>
              <w:insideV w:val="nil"/>
              <w:tl2br w:val="nil"/>
              <w:tr2bl w:val="nil"/>
            </w:tcBorders>
            <w:shd w:val="clear" w:color="auto" w:fill="EDEDED"/>
            <w:tcMar>
              <w:top w:w="60" w:type="dxa"/>
              <w:left w:w="80" w:type="dxa"/>
              <w:bottom w:w="60" w:type="dxa"/>
              <w:right w:w="80" w:type="dxa"/>
            </w:tcMar>
            <w:vAlign w:val="center"/>
          </w:tcPr>
          <w:p w14:paraId="6E1832C6">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b/>
                <w:color w:val="auto"/>
                <w:sz w:val="18"/>
                <w:szCs w:val="20"/>
                <w:highlight w:val="none"/>
              </w:rPr>
              <w:t>partial η²</w:t>
            </w:r>
          </w:p>
        </w:tc>
      </w:tr>
      <w:tr w14:paraId="60199D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26" w:type="dxa"/>
            <w:tcBorders>
              <w:top w:val="single" w:color="auto" w:sz="12" w:space="0"/>
              <w:insideH w:val="nil"/>
              <w:insideV w:val="nil"/>
            </w:tcBorders>
            <w:tcMar>
              <w:top w:w="60" w:type="dxa"/>
              <w:left w:w="80" w:type="dxa"/>
              <w:bottom w:w="60" w:type="dxa"/>
              <w:right w:w="80" w:type="dxa"/>
            </w:tcMar>
            <w:vAlign w:val="center"/>
          </w:tcPr>
          <w:p w14:paraId="3A74BB09">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T0 total</w:t>
            </w:r>
          </w:p>
        </w:tc>
        <w:tc>
          <w:tcPr>
            <w:tcW w:w="1728" w:type="dxa"/>
            <w:tcBorders>
              <w:top w:val="single" w:color="auto" w:sz="12" w:space="0"/>
              <w:insideH w:val="nil"/>
              <w:insideV w:val="nil"/>
            </w:tcBorders>
            <w:tcMar>
              <w:top w:w="60" w:type="dxa"/>
              <w:left w:w="80" w:type="dxa"/>
              <w:bottom w:w="60" w:type="dxa"/>
              <w:right w:w="80" w:type="dxa"/>
            </w:tcMar>
            <w:vAlign w:val="center"/>
          </w:tcPr>
          <w:p w14:paraId="2945421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1, 100</w:t>
            </w:r>
          </w:p>
        </w:tc>
        <w:tc>
          <w:tcPr>
            <w:tcW w:w="1728" w:type="dxa"/>
            <w:tcBorders>
              <w:top w:val="single" w:color="auto" w:sz="12" w:space="0"/>
              <w:insideH w:val="nil"/>
              <w:insideV w:val="nil"/>
            </w:tcBorders>
            <w:tcMar>
              <w:top w:w="60" w:type="dxa"/>
              <w:left w:w="80" w:type="dxa"/>
              <w:bottom w:w="60" w:type="dxa"/>
              <w:right w:w="80" w:type="dxa"/>
            </w:tcMar>
            <w:vAlign w:val="center"/>
          </w:tcPr>
          <w:p w14:paraId="234A350F">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303.87</w:t>
            </w:r>
          </w:p>
        </w:tc>
        <w:tc>
          <w:tcPr>
            <w:tcW w:w="1728" w:type="dxa"/>
            <w:tcBorders>
              <w:top w:val="single" w:color="auto" w:sz="12" w:space="0"/>
              <w:insideH w:val="nil"/>
              <w:insideV w:val="nil"/>
            </w:tcBorders>
            <w:tcMar>
              <w:top w:w="60" w:type="dxa"/>
              <w:left w:w="80" w:type="dxa"/>
              <w:bottom w:w="60" w:type="dxa"/>
              <w:right w:w="80" w:type="dxa"/>
            </w:tcMar>
            <w:vAlign w:val="center"/>
          </w:tcPr>
          <w:p w14:paraId="523D8445">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&lt; .001</w:t>
            </w:r>
          </w:p>
        </w:tc>
        <w:tc>
          <w:tcPr>
            <w:tcW w:w="1728" w:type="dxa"/>
            <w:tcBorders>
              <w:top w:val="single" w:color="auto" w:sz="12" w:space="0"/>
              <w:insideH w:val="nil"/>
              <w:insideV w:val="nil"/>
            </w:tcBorders>
            <w:tcMar>
              <w:top w:w="60" w:type="dxa"/>
              <w:left w:w="80" w:type="dxa"/>
              <w:bottom w:w="60" w:type="dxa"/>
              <w:right w:w="80" w:type="dxa"/>
            </w:tcMar>
            <w:vAlign w:val="center"/>
          </w:tcPr>
          <w:p w14:paraId="46449DBF">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0.75</w:t>
            </w:r>
          </w:p>
        </w:tc>
      </w:tr>
      <w:tr w14:paraId="449AC7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26" w:type="dxa"/>
            <w:tcBorders>
              <w:insideH w:val="nil"/>
              <w:insideV w:val="nil"/>
              <w:tl2br w:val="nil"/>
              <w:tr2bl w:val="nil"/>
            </w:tcBorders>
            <w:tcMar>
              <w:top w:w="60" w:type="dxa"/>
              <w:left w:w="80" w:type="dxa"/>
              <w:bottom w:w="60" w:type="dxa"/>
              <w:right w:w="80" w:type="dxa"/>
            </w:tcMar>
            <w:vAlign w:val="center"/>
          </w:tcPr>
          <w:p w14:paraId="215C7B59">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Task order</w:t>
            </w:r>
          </w:p>
        </w:tc>
        <w:tc>
          <w:tcPr>
            <w:tcW w:w="1728" w:type="dxa"/>
            <w:tcBorders>
              <w:insideH w:val="nil"/>
              <w:insideV w:val="nil"/>
              <w:tl2br w:val="nil"/>
              <w:tr2bl w:val="nil"/>
            </w:tcBorders>
            <w:tcMar>
              <w:top w:w="60" w:type="dxa"/>
              <w:left w:w="80" w:type="dxa"/>
              <w:bottom w:w="60" w:type="dxa"/>
              <w:right w:w="80" w:type="dxa"/>
            </w:tcMar>
            <w:vAlign w:val="center"/>
          </w:tcPr>
          <w:p w14:paraId="2969D56E">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1, 100</w:t>
            </w:r>
          </w:p>
        </w:tc>
        <w:tc>
          <w:tcPr>
            <w:tcW w:w="1728" w:type="dxa"/>
            <w:tcBorders>
              <w:insideH w:val="nil"/>
              <w:insideV w:val="nil"/>
              <w:tl2br w:val="nil"/>
              <w:tr2bl w:val="nil"/>
            </w:tcBorders>
            <w:tcMar>
              <w:top w:w="60" w:type="dxa"/>
              <w:left w:w="80" w:type="dxa"/>
              <w:bottom w:w="60" w:type="dxa"/>
              <w:right w:w="80" w:type="dxa"/>
            </w:tcMar>
            <w:vAlign w:val="center"/>
          </w:tcPr>
          <w:p w14:paraId="119D55C4">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9.80</w:t>
            </w:r>
          </w:p>
        </w:tc>
        <w:tc>
          <w:tcPr>
            <w:tcW w:w="1728" w:type="dxa"/>
            <w:tcBorders>
              <w:insideH w:val="nil"/>
              <w:insideV w:val="nil"/>
              <w:tl2br w:val="nil"/>
              <w:tr2bl w:val="nil"/>
            </w:tcBorders>
            <w:tcMar>
              <w:top w:w="60" w:type="dxa"/>
              <w:left w:w="80" w:type="dxa"/>
              <w:bottom w:w="60" w:type="dxa"/>
              <w:right w:w="80" w:type="dxa"/>
            </w:tcMar>
            <w:vAlign w:val="center"/>
          </w:tcPr>
          <w:p w14:paraId="6CA151F3">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.002</w:t>
            </w:r>
          </w:p>
        </w:tc>
        <w:tc>
          <w:tcPr>
            <w:tcW w:w="1728" w:type="dxa"/>
            <w:tcBorders>
              <w:insideH w:val="nil"/>
              <w:insideV w:val="nil"/>
              <w:tl2br w:val="nil"/>
              <w:tr2bl w:val="nil"/>
            </w:tcBorders>
            <w:tcMar>
              <w:top w:w="60" w:type="dxa"/>
              <w:left w:w="80" w:type="dxa"/>
              <w:bottom w:w="60" w:type="dxa"/>
              <w:right w:w="80" w:type="dxa"/>
            </w:tcMar>
            <w:vAlign w:val="center"/>
          </w:tcPr>
          <w:p w14:paraId="46AF3F62">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0.09</w:t>
            </w:r>
          </w:p>
        </w:tc>
      </w:tr>
      <w:tr w14:paraId="07BB52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26" w:type="dxa"/>
            <w:tcBorders>
              <w:insideH w:val="nil"/>
              <w:insideV w:val="nil"/>
              <w:tl2br w:val="nil"/>
              <w:tr2bl w:val="nil"/>
            </w:tcBorders>
            <w:tcMar>
              <w:top w:w="60" w:type="dxa"/>
              <w:left w:w="80" w:type="dxa"/>
              <w:bottom w:w="60" w:type="dxa"/>
              <w:right w:w="80" w:type="dxa"/>
            </w:tcMar>
            <w:vAlign w:val="center"/>
          </w:tcPr>
          <w:p w14:paraId="4255144C">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Condition</w:t>
            </w:r>
          </w:p>
        </w:tc>
        <w:tc>
          <w:tcPr>
            <w:tcW w:w="1728" w:type="dxa"/>
            <w:tcBorders>
              <w:insideH w:val="nil"/>
              <w:insideV w:val="nil"/>
              <w:tl2br w:val="nil"/>
              <w:tr2bl w:val="nil"/>
            </w:tcBorders>
            <w:tcMar>
              <w:top w:w="60" w:type="dxa"/>
              <w:left w:w="80" w:type="dxa"/>
              <w:bottom w:w="60" w:type="dxa"/>
              <w:right w:w="80" w:type="dxa"/>
            </w:tcMar>
            <w:vAlign w:val="center"/>
          </w:tcPr>
          <w:p w14:paraId="357166F1">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2, 100</w:t>
            </w:r>
          </w:p>
        </w:tc>
        <w:tc>
          <w:tcPr>
            <w:tcW w:w="1728" w:type="dxa"/>
            <w:tcBorders>
              <w:insideH w:val="nil"/>
              <w:insideV w:val="nil"/>
              <w:tl2br w:val="nil"/>
              <w:tr2bl w:val="nil"/>
            </w:tcBorders>
            <w:tcMar>
              <w:top w:w="60" w:type="dxa"/>
              <w:left w:w="80" w:type="dxa"/>
              <w:bottom w:w="60" w:type="dxa"/>
              <w:right w:w="80" w:type="dxa"/>
            </w:tcMar>
            <w:vAlign w:val="center"/>
          </w:tcPr>
          <w:p w14:paraId="678DDD92">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1.46</w:t>
            </w:r>
          </w:p>
        </w:tc>
        <w:tc>
          <w:tcPr>
            <w:tcW w:w="1728" w:type="dxa"/>
            <w:tcBorders>
              <w:insideH w:val="nil"/>
              <w:insideV w:val="nil"/>
              <w:tl2br w:val="nil"/>
              <w:tr2bl w:val="nil"/>
            </w:tcBorders>
            <w:tcMar>
              <w:top w:w="60" w:type="dxa"/>
              <w:left w:w="80" w:type="dxa"/>
              <w:bottom w:w="60" w:type="dxa"/>
              <w:right w:w="80" w:type="dxa"/>
            </w:tcMar>
            <w:vAlign w:val="center"/>
          </w:tcPr>
          <w:p w14:paraId="42C70851">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.238</w:t>
            </w:r>
          </w:p>
        </w:tc>
        <w:tc>
          <w:tcPr>
            <w:tcW w:w="1728" w:type="dxa"/>
            <w:tcBorders>
              <w:insideH w:val="nil"/>
              <w:insideV w:val="nil"/>
              <w:tl2br w:val="nil"/>
              <w:tr2bl w:val="nil"/>
            </w:tcBorders>
            <w:tcMar>
              <w:top w:w="60" w:type="dxa"/>
              <w:left w:w="80" w:type="dxa"/>
              <w:bottom w:w="60" w:type="dxa"/>
              <w:right w:w="80" w:type="dxa"/>
            </w:tcMar>
            <w:vAlign w:val="center"/>
          </w:tcPr>
          <w:p w14:paraId="697CA5C0">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color w:val="auto"/>
                <w:sz w:val="20"/>
                <w:szCs w:val="20"/>
                <w:highlight w:val="none"/>
              </w:rPr>
            </w:pPr>
            <w:r>
              <w:rPr>
                <w:rFonts w:hint="default" w:ascii="Times New Roman" w:hAnsi="Times New Roman" w:eastAsia="Times New Roman"/>
                <w:color w:val="auto"/>
                <w:sz w:val="18"/>
                <w:szCs w:val="20"/>
                <w:highlight w:val="none"/>
              </w:rPr>
              <w:t>0.03</w:t>
            </w:r>
          </w:p>
        </w:tc>
      </w:tr>
    </w:tbl>
    <w:p w14:paraId="49668A44">
      <w:pPr>
        <w:spacing w:before="0" w:after="60" w:line="240" w:lineRule="auto"/>
        <w:jc w:val="both"/>
        <w:rPr>
          <w:rFonts w:hint="default"/>
          <w:color w:val="auto"/>
          <w:sz w:val="20"/>
          <w:szCs w:val="20"/>
          <w:highlight w:val="none"/>
        </w:rPr>
      </w:pPr>
      <w:r>
        <w:rPr>
          <w:rFonts w:hint="default" w:ascii="Times New Roman" w:hAnsi="Times New Roman" w:eastAsia="Times New Roman"/>
          <w:color w:val="auto"/>
          <w:sz w:val="21"/>
          <w:szCs w:val="20"/>
          <w:highlight w:val="none"/>
        </w:rPr>
        <w:t>Note. Inferential statistics ignore clustering and do not support causal inference given K = 3 (one class per condition).</w:t>
      </w:r>
    </w:p>
    <w:p w14:paraId="32067162">
      <w:pPr>
        <w:spacing w:before="0" w:after="60" w:line="240" w:lineRule="auto"/>
        <w:jc w:val="both"/>
        <w:rPr>
          <w:rFonts w:hint="default"/>
          <w:color w:val="auto"/>
          <w:sz w:val="20"/>
          <w:szCs w:val="20"/>
          <w:highlight w:val="none"/>
        </w:rPr>
      </w:pPr>
    </w:p>
    <w:p w14:paraId="59584671">
      <w:pPr>
        <w:spacing w:before="0" w:after="60" w:line="240" w:lineRule="auto"/>
        <w:jc w:val="both"/>
        <w:rPr>
          <w:rFonts w:hint="default" w:ascii="Times New Roman" w:hAnsi="Times New Roman" w:cs="Times New Roman"/>
          <w:color w:val="auto"/>
          <w:sz w:val="20"/>
          <w:szCs w:val="20"/>
          <w:highlight w:val="none"/>
        </w:rPr>
      </w:pPr>
    </w:p>
    <w:sectPr>
      <w:footerReference r:id="rId5" w:type="default"/>
      <w:pgSz w:w="12240" w:h="15840"/>
      <w:pgMar w:top="1440" w:right="1440" w:bottom="1440" w:left="1440" w:header="720" w:footer="720" w:gutter="0"/>
      <w:pgBorders>
        <w:top w:val="none" w:sz="0" w:space="0"/>
        <w:left w:val="none" w:sz="0" w:space="0"/>
        <w:bottom w:val="none" w:sz="0" w:space="0"/>
        <w:right w:val="none" w:sz="0" w:space="0"/>
      </w:pgBorders>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Kozuka Mincho Pr6N R"/>
    <w:panose1 w:val="00000000000000000000"/>
    <w:charset w:val="80"/>
    <w:family w:val="roman"/>
    <w:pitch w:val="default"/>
    <w:sig w:usb0="00000000" w:usb1="00000000" w:usb2="00000010" w:usb3="00000000" w:csb0="00020000" w:csb1="00000000"/>
  </w:font>
  <w:font w:name="Kozuka Mincho Pr6N R">
    <w:panose1 w:val="02020400000000000000"/>
    <w:charset w:val="80"/>
    <w:family w:val="auto"/>
    <w:pitch w:val="default"/>
    <w:sig w:usb0="000002D7" w:usb1="2AC71C11" w:usb2="00000012" w:usb3="00000000" w:csb0="200200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E50E3">
    <w:pPr>
      <w:pStyle w:val="24"/>
      <w:jc w:val="right"/>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133F3">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58133F3">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D8BF5"/>
    <w:multiLevelType w:val="singleLevel"/>
    <w:tmpl w:val="902D8BF5"/>
    <w:lvl w:ilvl="0" w:tentative="0">
      <w:start w:val="1"/>
      <w:numFmt w:val="bullet"/>
      <w:lvlText w:val=""/>
      <w:lvlJc w:val="left"/>
      <w:pPr>
        <w:ind w:left="420" w:hanging="420"/>
      </w:pPr>
      <w:rPr>
        <w:rFonts w:hint="default" w:ascii="Wingdings" w:hAnsi="Wingdings"/>
      </w:r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80D4F48"/>
    <w:rsid w:val="09A52852"/>
    <w:rsid w:val="0A4D28D6"/>
    <w:rsid w:val="0A845AB9"/>
    <w:rsid w:val="0B23151D"/>
    <w:rsid w:val="0BB64746"/>
    <w:rsid w:val="0CC124E3"/>
    <w:rsid w:val="0FFD442B"/>
    <w:rsid w:val="14D840D3"/>
    <w:rsid w:val="16B9012F"/>
    <w:rsid w:val="16C47E07"/>
    <w:rsid w:val="1C2920E0"/>
    <w:rsid w:val="1C782A98"/>
    <w:rsid w:val="1E162569"/>
    <w:rsid w:val="267F5D8F"/>
    <w:rsid w:val="270D3792"/>
    <w:rsid w:val="28E17BC9"/>
    <w:rsid w:val="299E4607"/>
    <w:rsid w:val="2A3149EE"/>
    <w:rsid w:val="2ACA4145"/>
    <w:rsid w:val="2C0F5C02"/>
    <w:rsid w:val="2F64451D"/>
    <w:rsid w:val="306F78B6"/>
    <w:rsid w:val="30846C60"/>
    <w:rsid w:val="3310712F"/>
    <w:rsid w:val="3AE856DE"/>
    <w:rsid w:val="3BAD0063"/>
    <w:rsid w:val="3CF32735"/>
    <w:rsid w:val="411506D2"/>
    <w:rsid w:val="43A16F14"/>
    <w:rsid w:val="43C14048"/>
    <w:rsid w:val="43D1532F"/>
    <w:rsid w:val="448F7475"/>
    <w:rsid w:val="44F24FAA"/>
    <w:rsid w:val="451D4EF5"/>
    <w:rsid w:val="461E33C0"/>
    <w:rsid w:val="46533F1E"/>
    <w:rsid w:val="465E66B3"/>
    <w:rsid w:val="49AB04EC"/>
    <w:rsid w:val="4BE6012E"/>
    <w:rsid w:val="508D09CF"/>
    <w:rsid w:val="56A376C5"/>
    <w:rsid w:val="56B47519"/>
    <w:rsid w:val="5E43306E"/>
    <w:rsid w:val="63251ED3"/>
    <w:rsid w:val="642A3B5D"/>
    <w:rsid w:val="643314A1"/>
    <w:rsid w:val="659628B6"/>
    <w:rsid w:val="663C0737"/>
    <w:rsid w:val="698E0F31"/>
    <w:rsid w:val="708B37B6"/>
    <w:rsid w:val="73815910"/>
    <w:rsid w:val="742D6E39"/>
    <w:rsid w:val="74583FCE"/>
    <w:rsid w:val="7B596207"/>
    <w:rsid w:val="7E3D7E17"/>
    <w:rsid w:val="7FF966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60" w:line="240" w:lineRule="auto"/>
    </w:pPr>
    <w:rPr>
      <w:rFonts w:ascii="Times New Roman" w:hAnsi="Times New Roman" w:eastAsia="Times New Roman" w:cstheme="minorBidi"/>
      <w:sz w:val="21"/>
      <w:szCs w:val="22"/>
      <w:lang w:val="en-US" w:eastAsia="en-US" w:bidi="ar-SA"/>
    </w:rPr>
  </w:style>
  <w:style w:type="paragraph" w:styleId="3">
    <w:name w:val="heading 1"/>
    <w:basedOn w:val="1"/>
    <w:next w:val="1"/>
    <w:link w:val="140"/>
    <w:qFormat/>
    <w:uiPriority w:val="9"/>
    <w:pPr>
      <w:keepNext/>
      <w:keepLines/>
      <w:spacing w:before="240" w:after="12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80"/>
      <w:outlineLvl w:val="1"/>
    </w:pPr>
    <w:rPr>
      <w:rFonts w:asciiTheme="majorHAnsi" w:hAnsiTheme="majorHAnsi" w:eastAsiaTheme="majorEastAsia" w:cstheme="majorBidi"/>
      <w:b/>
      <w:bCs/>
      <w:color w:val="4F81BD" w:themeColor="accent1"/>
      <w:sz w:val="24"/>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160" w:after="40"/>
      <w:outlineLvl w:val="2"/>
    </w:pPr>
    <w:rPr>
      <w:rFonts w:asciiTheme="majorHAnsi" w:hAnsiTheme="majorHAnsi" w:eastAsiaTheme="majorEastAsia" w:cstheme="majorBidi"/>
      <w:b/>
      <w:bCs/>
      <w:color w:val="4F81BD" w:themeColor="accent1"/>
      <w:sz w:val="22"/>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before="120" w:after="120" w:line="240" w:lineRule="auto"/>
      <w:jc w:val="center"/>
    </w:pPr>
    <w:rPr>
      <w:rFonts w:ascii="Times New Roman" w:hAnsi="Times New Roman" w:eastAsia="Times New Roman"/>
      <w:b/>
      <w:bCs/>
      <w:color w:val="4F81BD" w:themeColor="accent1"/>
      <w:sz w:val="20"/>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6"/>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qFormat/>
    <w:uiPriority w:val="99"/>
    <w:pPr>
      <w:tabs>
        <w:tab w:val="center" w:pos="4680"/>
        <w:tab w:val="right" w:pos="9360"/>
      </w:tabs>
      <w:spacing w:after="0" w:line="240" w:lineRule="auto"/>
    </w:pPr>
  </w:style>
  <w:style w:type="paragraph" w:styleId="25">
    <w:name w:val="header"/>
    <w:basedOn w:val="1"/>
    <w:link w:val="137"/>
    <w:unhideWhenUsed/>
    <w:qFormat/>
    <w:uiPriority w:val="99"/>
    <w:pPr>
      <w:tabs>
        <w:tab w:val="center" w:pos="4680"/>
        <w:tab w:val="right" w:pos="9360"/>
      </w:tabs>
      <w:spacing w:after="0" w:line="240" w:lineRule="auto"/>
    </w:pPr>
  </w:style>
  <w:style w:type="paragraph" w:styleId="26">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7"/>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semiHidden/>
    <w:unhideWhenUsed/>
    <w:qFormat/>
    <w:uiPriority w:val="99"/>
    <w:rPr>
      <w:color w:val="0000FF"/>
      <w:u w:val="single"/>
    </w:rPr>
  </w:style>
  <w:style w:type="character" w:customStyle="1" w:styleId="137">
    <w:name w:val="Header Char"/>
    <w:basedOn w:val="133"/>
    <w:link w:val="25"/>
    <w:qFormat/>
    <w:uiPriority w:val="99"/>
  </w:style>
  <w:style w:type="character" w:customStyle="1" w:styleId="138">
    <w:name w:val="Footer Char"/>
    <w:basedOn w:val="133"/>
    <w:link w:val="24"/>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3"/>
    <w:link w:val="19"/>
    <w:qFormat/>
    <w:uiPriority w:val="99"/>
  </w:style>
  <w:style w:type="character" w:customStyle="1" w:styleId="147">
    <w:name w:val="Body Text 2 Char"/>
    <w:basedOn w:val="133"/>
    <w:link w:val="28"/>
    <w:qFormat/>
    <w:uiPriority w:val="99"/>
  </w:style>
  <w:style w:type="character" w:customStyle="1" w:styleId="148">
    <w:name w:val="Body Text 3 Char"/>
    <w:basedOn w:val="133"/>
    <w:link w:val="17"/>
    <w:qFormat/>
    <w:uiPriority w:val="99"/>
    <w:rPr>
      <w:sz w:val="16"/>
      <w:szCs w:val="16"/>
    </w:rPr>
  </w:style>
  <w:style w:type="character" w:customStyle="1" w:styleId="149">
    <w:name w:val="Macro Text Char"/>
    <w:basedOn w:val="133"/>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3"/>
    <w:link w:val="150"/>
    <w:qFormat/>
    <w:uiPriority w:val="29"/>
    <w:rPr>
      <w:i/>
      <w:iCs/>
      <w:color w:val="000000" w:themeColor="text1"/>
      <w14:textFill>
        <w14:solidFill>
          <w14:schemeClr w14:val="tx1"/>
        </w14:solidFill>
      </w14:textFill>
    </w:rPr>
  </w:style>
  <w:style w:type="character" w:customStyle="1" w:styleId="152">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3"/>
    <w:link w:val="158"/>
    <w:qFormat/>
    <w:uiPriority w:val="30"/>
    <w:rPr>
      <w:b/>
      <w:bCs/>
      <w:i/>
      <w:iCs/>
      <w:color w:val="4F81BD" w:themeColor="accent1"/>
      <w14:textFill>
        <w14:solidFill>
          <w14:schemeClr w14:val="accent1"/>
        </w14:solidFill>
      </w14:textFill>
    </w:rPr>
  </w:style>
  <w:style w:type="character" w:customStyle="1" w:styleId="160">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3"/>
    <w:qFormat/>
    <w:uiPriority w:val="21"/>
    <w:rPr>
      <w:b/>
      <w:bCs/>
      <w:i/>
      <w:iCs/>
      <w:color w:val="4F81BD" w:themeColor="accent1"/>
      <w14:textFill>
        <w14:solidFill>
          <w14:schemeClr w14:val="accent1"/>
        </w14:solidFill>
      </w14:textFill>
    </w:rPr>
  </w:style>
  <w:style w:type="character" w:customStyle="1" w:styleId="162">
    <w:name w:val="Subtle Reference"/>
    <w:basedOn w:val="133"/>
    <w:qFormat/>
    <w:uiPriority w:val="31"/>
    <w:rPr>
      <w:smallCaps/>
      <w:color w:val="C0504D" w:themeColor="accent2"/>
      <w:u w:val="single"/>
      <w14:textFill>
        <w14:solidFill>
          <w14:schemeClr w14:val="accent2"/>
        </w14:solidFill>
      </w14:textFill>
    </w:rPr>
  </w:style>
  <w:style w:type="character" w:customStyle="1" w:styleId="163">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3"/>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3701</Words>
  <Characters>22748</Characters>
  <Lines>0</Lines>
  <Paragraphs>0</Paragraphs>
  <TotalTime>38</TotalTime>
  <ScaleCrop>false</ScaleCrop>
  <LinksUpToDate>false</LinksUpToDate>
  <CharactersWithSpaces>26095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wj。</cp:lastModifiedBy>
  <dcterms:modified xsi:type="dcterms:W3CDTF">2026-04-03T11:08:19Z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eyJoZGlkIjoiZDdkZGE0MjY5MGQxNzU1NjBlYzRlOTU3Y2RiM2UyN2UiLCJ1c2VySWQiOiI0NzcyMjgyODAifQ==</vt:lpwstr>
  </property>
  <property fmtid="{D5CDD505-2E9C-101B-9397-08002B2CF9AE}" pid="3" name="KSOProductBuildVer">
    <vt:lpwstr>2052-12.1.0.25225</vt:lpwstr>
  </property>
  <property fmtid="{D5CDD505-2E9C-101B-9397-08002B2CF9AE}" pid="4" name="ICV">
    <vt:lpwstr>1D78D77827E741F1B2CFCD294077860D_13</vt:lpwstr>
  </property>
</Properties>
</file>