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C8F2" w14:textId="5B7F112E" w:rsidR="003F7813" w:rsidRDefault="00F20F7F" w:rsidP="0099536F">
      <w:pPr>
        <w:pStyle w:val="Heading1"/>
      </w:pPr>
      <w:r>
        <w:t>Table 7</w:t>
      </w:r>
      <w:r w:rsidR="0099536F">
        <w:t xml:space="preserve"> Improved outcomes </w:t>
      </w:r>
    </w:p>
    <w:p w14:paraId="0FBDFDD1" w14:textId="77777777" w:rsidR="00F20F7F" w:rsidRDefault="00F20F7F" w:rsidP="00F20F7F">
      <w:pPr>
        <w:rPr>
          <w:rFonts w:ascii="Times New Roman" w:hAnsi="Times New Roman" w:cs="Times New Roman"/>
        </w:rPr>
      </w:pPr>
    </w:p>
    <w:p w14:paraId="44324E27" w14:textId="77777777" w:rsidR="0099536F" w:rsidRDefault="0099536F" w:rsidP="00F20F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36F" w14:paraId="63B93E7D" w14:textId="77777777" w:rsidTr="0099536F">
        <w:tc>
          <w:tcPr>
            <w:tcW w:w="9016" w:type="dxa"/>
          </w:tcPr>
          <w:p w14:paraId="6F2E7130" w14:textId="0641A652" w:rsidR="0099536F" w:rsidRPr="0099536F" w:rsidRDefault="0099536F" w:rsidP="0099536F">
            <w:pPr>
              <w:pStyle w:val="Heading2"/>
            </w:pPr>
            <w:r w:rsidRPr="1D1D4227">
              <w:t xml:space="preserve">3a) </w:t>
            </w:r>
            <w:r w:rsidRPr="0099536F">
              <w:t xml:space="preserve">When requested, </w:t>
            </w:r>
            <w:proofErr w:type="gramStart"/>
            <w:r w:rsidR="00FC0B96">
              <w:t>AP’s</w:t>
            </w:r>
            <w:proofErr w:type="gramEnd"/>
            <w:r w:rsidR="00FC0B96">
              <w:t xml:space="preserve"> should </w:t>
            </w:r>
            <w:r w:rsidRPr="0099536F">
              <w:t>have a choice (e.g. gender, ethnicity, LGBTQ+) of advocate.</w:t>
            </w:r>
          </w:p>
        </w:tc>
      </w:tr>
      <w:tr w:rsidR="0099536F" w14:paraId="7957DBBA" w14:textId="77777777" w:rsidTr="0099536F">
        <w:tc>
          <w:tcPr>
            <w:tcW w:w="9016" w:type="dxa"/>
          </w:tcPr>
          <w:p w14:paraId="271E9C7D" w14:textId="77777777" w:rsidR="0099536F" w:rsidRDefault="0099536F" w:rsidP="0099536F">
            <w:pPr>
              <w:pStyle w:val="Heading3"/>
            </w:pPr>
            <w:r>
              <w:t>Example output</w:t>
            </w:r>
          </w:p>
          <w:p w14:paraId="549F2B95" w14:textId="49A21BE4" w:rsidR="0099536F" w:rsidRDefault="0099536F" w:rsidP="00EE483D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FB5CC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Advocacy organisations develop effective and equitable partnership with appropriate community organisations to enable advocacy needs to be appropriately met. </w:t>
            </w:r>
          </w:p>
        </w:tc>
      </w:tr>
      <w:tr w:rsidR="0099536F" w14:paraId="0F4F1022" w14:textId="77777777" w:rsidTr="0099536F">
        <w:tc>
          <w:tcPr>
            <w:tcW w:w="9016" w:type="dxa"/>
          </w:tcPr>
          <w:p w14:paraId="63EFE388" w14:textId="77777777" w:rsidR="0099536F" w:rsidRDefault="0099536F" w:rsidP="0099536F">
            <w:pPr>
              <w:pStyle w:val="Heading3"/>
            </w:pPr>
            <w:r>
              <w:t>Example indicator</w:t>
            </w:r>
          </w:p>
          <w:p w14:paraId="3A955E4A" w14:textId="4C5ED3AD" w:rsidR="0099536F" w:rsidRDefault="007B05AA" w:rsidP="00EE483D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441E2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dvocacy partner</w:t>
            </w:r>
            <w:r w:rsidR="0099536F" w:rsidRPr="00FB5CC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s report they have established safe and trusting relationships with their advocate.</w:t>
            </w:r>
          </w:p>
        </w:tc>
      </w:tr>
      <w:tr w:rsidR="0099536F" w14:paraId="678692BF" w14:textId="77777777" w:rsidTr="0099536F">
        <w:tc>
          <w:tcPr>
            <w:tcW w:w="9016" w:type="dxa"/>
          </w:tcPr>
          <w:p w14:paraId="57341F47" w14:textId="77777777" w:rsidR="0099536F" w:rsidRPr="0099536F" w:rsidRDefault="0099536F" w:rsidP="0099536F">
            <w:pPr>
              <w:pStyle w:val="Heading3"/>
            </w:pPr>
            <w:r w:rsidRPr="0099536F">
              <w:t>Evidence from RA</w:t>
            </w:r>
          </w:p>
          <w:p w14:paraId="672A9442" w14:textId="57C4B85A" w:rsidR="0099536F" w:rsidRPr="0099536F" w:rsidRDefault="0099536F" w:rsidP="00EE483D">
            <w:pPr>
              <w:pStyle w:val="Heading4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i w:val="0"/>
                <w:iCs w:val="0"/>
              </w:rPr>
            </w:pPr>
            <w:r w:rsidRPr="0099536F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Services developed by the Black Community and voluntary sector are grounded in different conceptualizations of advocacy and sharper understanding of the needs of African and Caribbean men</w:t>
            </w:r>
            <w:r w:rsidRPr="0099536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99536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lang w:eastAsia="zh-CN"/>
              </w:rPr>
              <w:t>Newbigging</w:t>
            </w:r>
            <w:proofErr w:type="spellEnd"/>
            <w:r w:rsidRPr="0099536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lang w:eastAsia="zh-CN"/>
              </w:rPr>
              <w:t xml:space="preserve"> et al, 2013). </w:t>
            </w:r>
          </w:p>
        </w:tc>
      </w:tr>
      <w:tr w:rsidR="0099536F" w14:paraId="36604243" w14:textId="77777777" w:rsidTr="0099536F">
        <w:tc>
          <w:tcPr>
            <w:tcW w:w="9016" w:type="dxa"/>
          </w:tcPr>
          <w:p w14:paraId="0329A7C7" w14:textId="77777777" w:rsidR="0099536F" w:rsidRDefault="0099536F" w:rsidP="0099536F">
            <w:pPr>
              <w:pStyle w:val="Heading3"/>
            </w:pPr>
            <w:r>
              <w:t>Evidence from FG</w:t>
            </w:r>
          </w:p>
          <w:p w14:paraId="30B8A35F" w14:textId="20FD48DA" w:rsidR="0099536F" w:rsidRPr="0099536F" w:rsidRDefault="0099536F" w:rsidP="00EE483D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9953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SU: </w:t>
            </w:r>
            <w:r w:rsidRPr="0099536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GB"/>
              </w:rPr>
              <w:t>If you're going to create an advocacy service, could it essentially be a partnership with community groups that really know those communities or give contracts to those community groups and </w:t>
            </w:r>
            <w:proofErr w:type="gramStart"/>
            <w:r w:rsidRPr="0099536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GB"/>
              </w:rPr>
              <w:t>actually develop</w:t>
            </w:r>
            <w:proofErr w:type="gramEnd"/>
            <w:r w:rsidRPr="0099536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GB"/>
              </w:rPr>
              <w:t> advocacy training so you can train up the community groups to do their own advocacy?</w:t>
            </w:r>
            <w:r w:rsidRPr="009953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99536F" w14:paraId="148352F9" w14:textId="77777777" w:rsidTr="0099536F">
        <w:tc>
          <w:tcPr>
            <w:tcW w:w="9016" w:type="dxa"/>
          </w:tcPr>
          <w:p w14:paraId="07215F1E" w14:textId="77777777" w:rsidR="0099536F" w:rsidRPr="00FB5CCA" w:rsidRDefault="0099536F" w:rsidP="0099536F">
            <w:pPr>
              <w:pStyle w:val="Heading3"/>
            </w:pPr>
            <w:r>
              <w:t>Evidence from CCS</w:t>
            </w:r>
            <w:r w:rsidRPr="00FB5CCA">
              <w:rPr>
                <w:rFonts w:cs="Times New Roman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536E0C2B" w14:textId="77777777" w:rsidR="005A1477" w:rsidRDefault="0099536F" w:rsidP="00EE483D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4D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AP: </w:t>
            </w:r>
            <w:r w:rsidRPr="005A4D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He [advocate] said he helps ethnic minority backgrounds and that resonated with me and I didn't want to really be in the hospital. It felt like he's just helping me. So that's why I turned to him.</w:t>
            </w:r>
            <w:r w:rsidRPr="005A4D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0089685" w14:textId="6CE2CA0B" w:rsidR="0099536F" w:rsidRPr="005A1477" w:rsidRDefault="0099536F" w:rsidP="00EE483D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14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AP: It was </w:t>
            </w:r>
            <w:proofErr w:type="gramStart"/>
            <w:r w:rsidRPr="005A14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definitely that</w:t>
            </w:r>
            <w:proofErr w:type="gramEnd"/>
            <w:r w:rsidRPr="005A14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it was more focused on the black community. So that </w:t>
            </w:r>
            <w:proofErr w:type="gramStart"/>
            <w:r w:rsidRPr="005A14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was something that was</w:t>
            </w:r>
            <w:proofErr w:type="gramEnd"/>
            <w:r w:rsidRPr="005A14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 quite stand out </w:t>
            </w:r>
            <w:r w:rsidRPr="005A14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for </w:t>
            </w:r>
            <w:proofErr w:type="gramStart"/>
            <w:r w:rsidRPr="005A14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myself</w:t>
            </w:r>
            <w:proofErr w:type="gramEnd"/>
            <w:r w:rsidRPr="005A14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1AAC0BA1" w14:textId="77777777" w:rsidR="0099536F" w:rsidRDefault="0099536F" w:rsidP="00F20F7F">
      <w:pPr>
        <w:rPr>
          <w:rFonts w:ascii="Times New Roman" w:hAnsi="Times New Roman" w:cs="Times New Roman"/>
        </w:rPr>
      </w:pPr>
    </w:p>
    <w:p w14:paraId="66EC2A28" w14:textId="77777777" w:rsidR="00F20F7F" w:rsidRDefault="00F20F7F" w:rsidP="00F20F7F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6915" w14:paraId="6A3274E9" w14:textId="77777777" w:rsidTr="00186915">
        <w:tc>
          <w:tcPr>
            <w:tcW w:w="9016" w:type="dxa"/>
          </w:tcPr>
          <w:p w14:paraId="7D741ABB" w14:textId="2ACDF3B7" w:rsidR="00186915" w:rsidRPr="005A1477" w:rsidRDefault="005A1477" w:rsidP="005A1477">
            <w:pPr>
              <w:pStyle w:val="Heading2"/>
            </w:pPr>
            <w:r w:rsidRPr="62E0B49A">
              <w:t>3b) Diverse lived experience informs the strategic direction and operational strategies of the advocacy organisation.</w:t>
            </w:r>
          </w:p>
        </w:tc>
      </w:tr>
      <w:tr w:rsidR="00186915" w14:paraId="456FEE0E" w14:textId="77777777" w:rsidTr="00186915">
        <w:tc>
          <w:tcPr>
            <w:tcW w:w="9016" w:type="dxa"/>
          </w:tcPr>
          <w:p w14:paraId="6F3EEE16" w14:textId="77777777" w:rsidR="005A1477" w:rsidRDefault="005A1477" w:rsidP="005A1477">
            <w:pPr>
              <w:pStyle w:val="Heading3"/>
            </w:pPr>
            <w:r>
              <w:t>Example output</w:t>
            </w:r>
          </w:p>
          <w:p w14:paraId="2CBC0DF3" w14:textId="0DEFA928" w:rsidR="00186915" w:rsidRPr="005A1477" w:rsidRDefault="005A1477" w:rsidP="005A147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9D2A70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A strategy is in place for the recruitment and retention of ethnically diverse people with lived experience to be trustees and staff. </w:t>
            </w:r>
          </w:p>
        </w:tc>
      </w:tr>
      <w:tr w:rsidR="00186915" w14:paraId="62BA4B67" w14:textId="77777777" w:rsidTr="00186915">
        <w:tc>
          <w:tcPr>
            <w:tcW w:w="9016" w:type="dxa"/>
          </w:tcPr>
          <w:p w14:paraId="38942C69" w14:textId="77777777" w:rsidR="005A1477" w:rsidRDefault="005A1477" w:rsidP="005A1477">
            <w:pPr>
              <w:pStyle w:val="Heading3"/>
            </w:pPr>
            <w:r>
              <w:t>Example indicator</w:t>
            </w:r>
          </w:p>
          <w:p w14:paraId="720C7390" w14:textId="358E7EF2" w:rsidR="00186915" w:rsidRPr="005A1477" w:rsidRDefault="005A1477" w:rsidP="005A147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9D2A70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Organisational reports indicate</w:t>
            </w:r>
            <w:r w:rsidR="007B05A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an</w:t>
            </w:r>
            <w:r w:rsidRPr="009D2A70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ethnically diverse </w:t>
            </w:r>
            <w:r w:rsidR="007B05A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profile of </w:t>
            </w:r>
            <w:r w:rsidRPr="009D2A70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people with lived experience in decision-making positions.</w:t>
            </w:r>
          </w:p>
        </w:tc>
      </w:tr>
      <w:tr w:rsidR="00186915" w14:paraId="2E0FED06" w14:textId="77777777" w:rsidTr="00186915">
        <w:tc>
          <w:tcPr>
            <w:tcW w:w="9016" w:type="dxa"/>
          </w:tcPr>
          <w:p w14:paraId="2EE53519" w14:textId="77777777" w:rsidR="005A1477" w:rsidRDefault="005A1477" w:rsidP="005A1477">
            <w:pPr>
              <w:pStyle w:val="Heading3"/>
            </w:pPr>
            <w:r>
              <w:t>Evidence from RA</w:t>
            </w:r>
          </w:p>
          <w:p w14:paraId="1FEBA46F" w14:textId="620D6E3B" w:rsidR="00186915" w:rsidRDefault="005A1477" w:rsidP="005A1477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9D2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Lived experience not involved in framing advocacy outcomes or measurements (Ridley et al, 2018). </w:t>
            </w:r>
          </w:p>
        </w:tc>
      </w:tr>
      <w:tr w:rsidR="00186915" w14:paraId="36B64121" w14:textId="77777777" w:rsidTr="00186915">
        <w:tc>
          <w:tcPr>
            <w:tcW w:w="9016" w:type="dxa"/>
          </w:tcPr>
          <w:p w14:paraId="3D3B987A" w14:textId="77777777" w:rsidR="005A1477" w:rsidRDefault="005A1477" w:rsidP="005A1477">
            <w:pPr>
              <w:pStyle w:val="Heading3"/>
            </w:pPr>
            <w:r>
              <w:t>Evidence from FG</w:t>
            </w:r>
          </w:p>
          <w:p w14:paraId="3404C996" w14:textId="5CD6554B" w:rsidR="00186915" w:rsidRPr="005A1477" w:rsidRDefault="005A1477" w:rsidP="005A1477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163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SU: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E</w:t>
            </w:r>
            <w:r w:rsidRPr="00BB6163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>mploying ex-service users and ethnic minorities, or somebody who counts as both would really help.</w:t>
            </w:r>
          </w:p>
        </w:tc>
      </w:tr>
      <w:tr w:rsidR="00186915" w14:paraId="1787D6EE" w14:textId="77777777" w:rsidTr="00186915">
        <w:tc>
          <w:tcPr>
            <w:tcW w:w="9016" w:type="dxa"/>
          </w:tcPr>
          <w:p w14:paraId="3CA7222F" w14:textId="77777777" w:rsidR="005A1477" w:rsidRDefault="005A1477" w:rsidP="005A1477">
            <w:pPr>
              <w:pStyle w:val="Heading3"/>
            </w:pPr>
            <w:r>
              <w:t>Evidence from CCS</w:t>
            </w:r>
          </w:p>
          <w:p w14:paraId="08ED6D54" w14:textId="30D2DDBA" w:rsidR="00186915" w:rsidRPr="009A513E" w:rsidRDefault="005A1477" w:rsidP="009A513E">
            <w:pPr>
              <w:pStyle w:val="ListParagraph"/>
              <w:numPr>
                <w:ilvl w:val="0"/>
                <w:numId w:val="16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9A513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Advocate:</w:t>
            </w:r>
            <w:r w:rsidRPr="009A513E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It can be genuine lived experience kind of advocates where they're paid well.</w:t>
            </w:r>
          </w:p>
        </w:tc>
      </w:tr>
    </w:tbl>
    <w:p w14:paraId="57CB112A" w14:textId="77777777" w:rsidR="00F20F7F" w:rsidRDefault="00F20F7F" w:rsidP="00F20F7F">
      <w:pPr>
        <w:rPr>
          <w:rFonts w:ascii="Times New Roman" w:hAnsi="Times New Roman" w:cs="Times New Roman"/>
        </w:rPr>
      </w:pPr>
    </w:p>
    <w:p w14:paraId="20AB7741" w14:textId="77777777" w:rsidR="00F20F7F" w:rsidRPr="009E096D" w:rsidRDefault="00F20F7F" w:rsidP="00F20F7F">
      <w:pPr>
        <w:pStyle w:val="ListParagraph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39B5F05" w14:textId="77777777" w:rsidR="00F20F7F" w:rsidRDefault="00F20F7F" w:rsidP="00F20F7F">
      <w:pPr>
        <w:rPr>
          <w:rFonts w:ascii="Times New Roman" w:hAnsi="Times New Roman" w:cs="Times New Roman"/>
        </w:rPr>
      </w:pPr>
    </w:p>
    <w:p w14:paraId="1BE50DA0" w14:textId="77777777" w:rsidR="00F20F7F" w:rsidRDefault="00F20F7F" w:rsidP="00F20F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13E" w14:paraId="61135F77" w14:textId="77777777" w:rsidTr="009A513E">
        <w:tc>
          <w:tcPr>
            <w:tcW w:w="9016" w:type="dxa"/>
          </w:tcPr>
          <w:p w14:paraId="1499886C" w14:textId="3173C57A" w:rsidR="009A513E" w:rsidRDefault="00177202" w:rsidP="00177202">
            <w:pPr>
              <w:pStyle w:val="Heading2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177202">
              <w:rPr>
                <w:rStyle w:val="normaltextrun"/>
                <w:rFonts w:ascii="Times New Roman" w:eastAsiaTheme="majorEastAsia" w:hAnsi="Times New Roman" w:cstheme="majorBidi"/>
                <w:szCs w:val="32"/>
              </w:rPr>
              <w:t>3c) A robust system of management and accountability for equality outcomes with a tangible commitment to equality, equity of access and providing a culturally relevant approach</w:t>
            </w:r>
            <w:r>
              <w:rPr>
                <w:rStyle w:val="normaltextrun"/>
                <w:rFonts w:ascii="Times New Roman" w:eastAsiaTheme="majorEastAsia" w:hAnsi="Times New Roman" w:cstheme="majorBidi"/>
                <w:szCs w:val="32"/>
              </w:rPr>
              <w:t>.</w:t>
            </w:r>
          </w:p>
        </w:tc>
      </w:tr>
      <w:tr w:rsidR="009A513E" w14:paraId="6A1D277C" w14:textId="77777777" w:rsidTr="009A513E">
        <w:tc>
          <w:tcPr>
            <w:tcW w:w="9016" w:type="dxa"/>
          </w:tcPr>
          <w:p w14:paraId="5CE7DFDC" w14:textId="77777777" w:rsidR="00177202" w:rsidRDefault="00177202" w:rsidP="00177202">
            <w:pPr>
              <w:pStyle w:val="Heading3"/>
            </w:pPr>
            <w:r>
              <w:t>Example output</w:t>
            </w:r>
          </w:p>
          <w:p w14:paraId="3F4235F7" w14:textId="5ED98ADF" w:rsidR="009A513E" w:rsidRDefault="00177202" w:rsidP="00177202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B47D67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Engagement is carried ou</w:t>
            </w:r>
            <w:r w:rsidR="006C1559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t to develop patient</w:t>
            </w:r>
            <w:r w:rsidRPr="00B47D67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-defined </w:t>
            </w:r>
            <w:r w:rsidR="007B05A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outputs and </w:t>
            </w:r>
            <w:r w:rsidRPr="00B47D67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outcomes.</w:t>
            </w:r>
          </w:p>
        </w:tc>
      </w:tr>
      <w:tr w:rsidR="009A513E" w14:paraId="11EC9080" w14:textId="77777777" w:rsidTr="009A513E">
        <w:tc>
          <w:tcPr>
            <w:tcW w:w="9016" w:type="dxa"/>
          </w:tcPr>
          <w:p w14:paraId="3A32126A" w14:textId="77777777" w:rsidR="00177202" w:rsidRPr="009D2A70" w:rsidRDefault="00177202" w:rsidP="00177202">
            <w:pPr>
              <w:pStyle w:val="Heading3"/>
              <w:rPr>
                <w:rFonts w:eastAsia="Aptos" w:cs="Times New Roman"/>
                <w:szCs w:val="20"/>
              </w:rPr>
            </w:pPr>
            <w:r>
              <w:t>Example indicator</w:t>
            </w:r>
          </w:p>
          <w:p w14:paraId="7B80A951" w14:textId="2EF76E3C" w:rsidR="009A513E" w:rsidRDefault="00177202" w:rsidP="00177202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B47D67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Organisational reports demonstrate engagement with ethnically diverse people with lived experience to develop </w:t>
            </w:r>
            <w:r w:rsidR="006C1559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patient</w:t>
            </w:r>
            <w:r w:rsidRPr="00B47D67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defined </w:t>
            </w:r>
            <w:r w:rsidR="007B05A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outputs and </w:t>
            </w:r>
            <w:r w:rsidRPr="00B47D67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outcomes.</w:t>
            </w:r>
          </w:p>
        </w:tc>
      </w:tr>
      <w:tr w:rsidR="009A513E" w14:paraId="596B1ECD" w14:textId="77777777" w:rsidTr="009A513E">
        <w:tc>
          <w:tcPr>
            <w:tcW w:w="9016" w:type="dxa"/>
          </w:tcPr>
          <w:p w14:paraId="01A7556D" w14:textId="77777777" w:rsidR="00177202" w:rsidRDefault="00177202" w:rsidP="00177202">
            <w:pPr>
              <w:pStyle w:val="Heading3"/>
            </w:pPr>
            <w:r>
              <w:t>Evidence from RA</w:t>
            </w:r>
          </w:p>
          <w:p w14:paraId="3B702C95" w14:textId="50C7A96A" w:rsidR="009A513E" w:rsidRDefault="00177202" w:rsidP="00177202">
            <w:pPr>
              <w:numPr>
                <w:ilvl w:val="0"/>
                <w:numId w:val="3"/>
              </w:numPr>
              <w:ind w:left="357" w:hanging="357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B4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Lack of routine outcome reporting, making impact measurement inconsistent (</w:t>
            </w:r>
            <w:proofErr w:type="spellStart"/>
            <w:r w:rsidRPr="00B4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Newbigging</w:t>
            </w:r>
            <w:proofErr w:type="spellEnd"/>
            <w:r w:rsidRPr="00B4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al, 2015, Ridley et al 2018)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47D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A513E" w14:paraId="2200F6E3" w14:textId="77777777" w:rsidTr="009A513E">
        <w:tc>
          <w:tcPr>
            <w:tcW w:w="9016" w:type="dxa"/>
          </w:tcPr>
          <w:p w14:paraId="0918E3CB" w14:textId="77777777" w:rsidR="00177202" w:rsidRDefault="00177202" w:rsidP="00177202">
            <w:pPr>
              <w:pStyle w:val="Heading3"/>
            </w:pPr>
            <w:r>
              <w:t>Evidence from FG</w:t>
            </w:r>
          </w:p>
          <w:p w14:paraId="7D899408" w14:textId="5409A33C" w:rsidR="009A513E" w:rsidRDefault="00177202" w:rsidP="00177202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9D2A70">
              <w:rPr>
                <w:rFonts w:ascii="Times New Roman" w:eastAsia="Aptos" w:hAnsi="Times New Roman" w:cs="Times New Roman"/>
                <w:sz w:val="20"/>
                <w:szCs w:val="20"/>
              </w:rPr>
              <w:t>SU:</w:t>
            </w:r>
            <w: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T</w:t>
            </w:r>
            <w:r w:rsidRPr="00B47D6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here's no prevention you need to be out on the street before people can </w:t>
            </w:r>
            <w:proofErr w:type="gramStart"/>
            <w:r w:rsidRPr="00B47D6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actually help</w:t>
            </w:r>
            <w:proofErr w:type="gramEnd"/>
            <w:r w:rsidRPr="00B47D67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you.</w:t>
            </w:r>
          </w:p>
        </w:tc>
      </w:tr>
      <w:tr w:rsidR="009A513E" w14:paraId="5E17002F" w14:textId="77777777" w:rsidTr="009A513E">
        <w:tc>
          <w:tcPr>
            <w:tcW w:w="9016" w:type="dxa"/>
          </w:tcPr>
          <w:p w14:paraId="3491B995" w14:textId="77777777" w:rsidR="00177202" w:rsidRDefault="00177202" w:rsidP="00177202">
            <w:pPr>
              <w:pStyle w:val="Heading3"/>
            </w:pPr>
            <w:r>
              <w:t>Evidence from CCS</w:t>
            </w:r>
          </w:p>
          <w:p w14:paraId="558962AB" w14:textId="77777777" w:rsidR="00177202" w:rsidRPr="005A4D64" w:rsidRDefault="00177202" w:rsidP="00177202">
            <w:pPr>
              <w:pStyle w:val="ListParagraph"/>
              <w:numPr>
                <w:ilvl w:val="0"/>
                <w:numId w:val="7"/>
              </w:numPr>
              <w:ind w:left="357" w:hanging="357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A4D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AP: </w:t>
            </w:r>
            <w:r w:rsidRPr="005A4D6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It'd be nice if the advocacy service </w:t>
            </w:r>
            <w:proofErr w:type="gramStart"/>
            <w:r w:rsidRPr="005A4D6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advertise</w:t>
            </w:r>
            <w:proofErr w:type="gramEnd"/>
            <w:r w:rsidRPr="005A4D6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a bit more. I feel the pilot could be doing a bit better, could be actively going up to patients a bit more. I had to go up to the advocate and find out what it was.</w:t>
            </w:r>
            <w:r w:rsidRPr="005A4D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A0C1F3C" w14:textId="77777777" w:rsidR="009A513E" w:rsidRDefault="009A513E" w:rsidP="00F20F7F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</w:tbl>
    <w:p w14:paraId="3D39263A" w14:textId="77777777" w:rsidR="00F20F7F" w:rsidRDefault="00F20F7F" w:rsidP="00F20F7F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777F112" w14:textId="77777777" w:rsidR="007C7F34" w:rsidRPr="00867805" w:rsidRDefault="007C7F34" w:rsidP="00F20F7F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7202" w14:paraId="096DB061" w14:textId="77777777" w:rsidTr="00177202">
        <w:tc>
          <w:tcPr>
            <w:tcW w:w="9016" w:type="dxa"/>
          </w:tcPr>
          <w:p w14:paraId="09B89661" w14:textId="619730A8" w:rsidR="00177202" w:rsidRDefault="00177202" w:rsidP="00724B6A">
            <w:pPr>
              <w:pStyle w:val="Heading2"/>
            </w:pPr>
            <w:r w:rsidRPr="00885E6E">
              <w:t xml:space="preserve">3d) Advocates are supported to perform culturally sensitive advocacy roles.   </w:t>
            </w:r>
          </w:p>
        </w:tc>
      </w:tr>
      <w:tr w:rsidR="00177202" w14:paraId="2F692CA6" w14:textId="77777777" w:rsidTr="00177202">
        <w:tc>
          <w:tcPr>
            <w:tcW w:w="9016" w:type="dxa"/>
          </w:tcPr>
          <w:p w14:paraId="1C29DC90" w14:textId="77777777" w:rsidR="00177202" w:rsidRDefault="00177202" w:rsidP="00392794">
            <w:pPr>
              <w:pStyle w:val="Heading3"/>
            </w:pPr>
            <w:r>
              <w:t>Example output</w:t>
            </w:r>
          </w:p>
          <w:p w14:paraId="50142200" w14:textId="6332A9EC" w:rsidR="00177202" w:rsidRPr="00392794" w:rsidRDefault="00177202" w:rsidP="00F20F7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9D2A70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Advocacy organisations ensure advocates receive comprehensive initial and ongoing coaching and training</w:t>
            </w:r>
            <w:r w:rsidR="007B05A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around racial equity</w:t>
            </w:r>
            <w:r w:rsidRPr="009D2A70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177202" w14:paraId="40B5462E" w14:textId="77777777" w:rsidTr="00177202">
        <w:tc>
          <w:tcPr>
            <w:tcW w:w="9016" w:type="dxa"/>
          </w:tcPr>
          <w:p w14:paraId="26F61EC5" w14:textId="77777777" w:rsidR="00177202" w:rsidRDefault="00177202" w:rsidP="00392794">
            <w:pPr>
              <w:pStyle w:val="Heading3"/>
            </w:pPr>
            <w:r>
              <w:t>Example indicator</w:t>
            </w:r>
          </w:p>
          <w:p w14:paraId="70E29D31" w14:textId="0EC63566" w:rsidR="00177202" w:rsidRPr="00392794" w:rsidRDefault="007B05AA" w:rsidP="00F20F7F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AP</w:t>
            </w:r>
            <w:r w:rsidR="00177202" w:rsidRPr="00473B0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feedback indicates advocates provide culturally sensitive support.</w:t>
            </w:r>
          </w:p>
        </w:tc>
      </w:tr>
      <w:tr w:rsidR="00177202" w14:paraId="3B253EAC" w14:textId="77777777" w:rsidTr="00177202">
        <w:tc>
          <w:tcPr>
            <w:tcW w:w="9016" w:type="dxa"/>
          </w:tcPr>
          <w:p w14:paraId="0EE6D7C2" w14:textId="77777777" w:rsidR="00392794" w:rsidRDefault="00392794" w:rsidP="00392794">
            <w:pPr>
              <w:pStyle w:val="Heading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Evidence from RA</w:t>
            </w:r>
          </w:p>
          <w:p w14:paraId="0552236A" w14:textId="621897CE" w:rsidR="00177202" w:rsidRPr="00564F67" w:rsidRDefault="00564F67" w:rsidP="00564F6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Appropriate and ongoing workforce development should be a requirement to ensure essential value, knowledge and skills of advocates (</w:t>
            </w:r>
            <w:proofErr w:type="spellStart"/>
            <w:r w:rsidRPr="00564F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Newbigging</w:t>
            </w:r>
            <w:proofErr w:type="spellEnd"/>
            <w:r w:rsidRPr="00564F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et al, 2015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).</w:t>
            </w:r>
          </w:p>
        </w:tc>
      </w:tr>
      <w:tr w:rsidR="00177202" w14:paraId="656F099D" w14:textId="77777777" w:rsidTr="00177202">
        <w:tc>
          <w:tcPr>
            <w:tcW w:w="9016" w:type="dxa"/>
          </w:tcPr>
          <w:p w14:paraId="02EA5138" w14:textId="77777777" w:rsidR="00392794" w:rsidRDefault="00392794" w:rsidP="00392794">
            <w:pPr>
              <w:pStyle w:val="Heading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Evidence from FG</w:t>
            </w:r>
          </w:p>
          <w:p w14:paraId="1EE229EC" w14:textId="73F2FDE5" w:rsidR="00177202" w:rsidRDefault="00392794" w:rsidP="00392794">
            <w:pPr>
              <w:pStyle w:val="ListParagraph"/>
              <w:numPr>
                <w:ilvl w:val="0"/>
                <w:numId w:val="17"/>
              </w:numPr>
              <w:ind w:left="357" w:hanging="357"/>
            </w:pPr>
            <w:r w:rsidRPr="00392794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SU: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W</w:t>
            </w:r>
            <w:r w:rsidRPr="0052746A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hen I was trying to explain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2746A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>some stuff to my advocate I don't think he fully understood. There was a conversation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about Islam and how we pray, </w:t>
            </w:r>
            <w:r w:rsidRPr="0052746A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he said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52746A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>"oh, would you guys pray out loud?" It's like, you don't understand it</w:t>
            </w:r>
            <w:r w:rsidR="004C21CA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2746A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It's like sometimes you do, sometimes you don't. But only the brothers will know that.”</w:t>
            </w:r>
            <w:r w:rsidRPr="0052746A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77202" w14:paraId="3740DCF4" w14:textId="77777777" w:rsidTr="00177202">
        <w:tc>
          <w:tcPr>
            <w:tcW w:w="9016" w:type="dxa"/>
          </w:tcPr>
          <w:p w14:paraId="38EC3374" w14:textId="7E0571C3" w:rsidR="00392794" w:rsidRPr="000B388A" w:rsidRDefault="00392794" w:rsidP="00392794">
            <w:pPr>
              <w:pStyle w:val="Heading3"/>
              <w:rPr>
                <w:lang w:eastAsia="en-GB"/>
              </w:rPr>
            </w:pPr>
            <w:r>
              <w:rPr>
                <w:lang w:eastAsia="en-GB"/>
              </w:rPr>
              <w:t>Evidence from CCS</w:t>
            </w:r>
          </w:p>
          <w:p w14:paraId="6FD0C5CB" w14:textId="7023D885" w:rsidR="00177202" w:rsidRDefault="00392794" w:rsidP="00392794">
            <w:pPr>
              <w:pStyle w:val="ListParagraph"/>
              <w:numPr>
                <w:ilvl w:val="0"/>
                <w:numId w:val="18"/>
              </w:numPr>
              <w:textAlignment w:val="baseline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Advocate: </w:t>
            </w:r>
            <w:r w:rsidRPr="000B38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I could see people feeling more comfortable sharing because our service is specifically for cultural advocacy. Because we all like work under a culturally competent lens and we're very aware of these things. It means we're more likely to kind of dig deeper. </w:t>
            </w:r>
            <w:proofErr w:type="gramStart"/>
            <w:r w:rsidRPr="000B38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So</w:t>
            </w:r>
            <w:proofErr w:type="gramEnd"/>
            <w:r w:rsidRPr="000B38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 say if the ward </w:t>
            </w:r>
            <w:proofErr w:type="gramStart"/>
            <w:r w:rsidRPr="000B38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do</w:t>
            </w:r>
            <w:proofErr w:type="gramEnd"/>
            <w:r w:rsidRPr="000B38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 say, ‘yeah, they speak English, they're fine’. We're not going to bat it off. We're going to check with the person.</w:t>
            </w:r>
            <w:r w:rsidRPr="000B388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14:paraId="69D10EEE" w14:textId="77777777" w:rsidR="00F20F7F" w:rsidRDefault="00F20F7F" w:rsidP="00F20F7F"/>
    <w:p w14:paraId="060A70AA" w14:textId="77777777" w:rsidR="00F20F7F" w:rsidRPr="009D2A70" w:rsidRDefault="00F20F7F" w:rsidP="00F20F7F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5D6379A6" w14:textId="77777777" w:rsidR="00F20F7F" w:rsidRPr="005A4D64" w:rsidRDefault="00F20F7F" w:rsidP="00F20F7F">
      <w:pPr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27AC1568" w14:textId="77777777" w:rsidR="00F20F7F" w:rsidRDefault="00F20F7F"/>
    <w:sectPr w:rsidR="00F20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AA4"/>
    <w:multiLevelType w:val="hybridMultilevel"/>
    <w:tmpl w:val="C65EA3AE"/>
    <w:lvl w:ilvl="0" w:tplc="EC66A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5DE"/>
    <w:multiLevelType w:val="hybridMultilevel"/>
    <w:tmpl w:val="B948925A"/>
    <w:lvl w:ilvl="0" w:tplc="6B889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2AF"/>
    <w:multiLevelType w:val="hybridMultilevel"/>
    <w:tmpl w:val="C158F168"/>
    <w:lvl w:ilvl="0" w:tplc="6396F6EE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7435"/>
    <w:multiLevelType w:val="hybridMultilevel"/>
    <w:tmpl w:val="DC4CFCC2"/>
    <w:lvl w:ilvl="0" w:tplc="7F5095C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20C5"/>
    <w:multiLevelType w:val="hybridMultilevel"/>
    <w:tmpl w:val="5E30A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17F8"/>
    <w:multiLevelType w:val="hybridMultilevel"/>
    <w:tmpl w:val="5908F030"/>
    <w:lvl w:ilvl="0" w:tplc="0ED2D6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EE76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B26A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06AE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9407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A49E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5AB8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9E7C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1C51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D41EB"/>
    <w:multiLevelType w:val="hybridMultilevel"/>
    <w:tmpl w:val="FFFFFFFF"/>
    <w:lvl w:ilvl="0" w:tplc="753AB85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46442B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0C8D3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503ED1F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84F50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8BE387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ACBADE9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DB500B4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FB8F16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3FE64E2"/>
    <w:multiLevelType w:val="hybridMultilevel"/>
    <w:tmpl w:val="B5983496"/>
    <w:lvl w:ilvl="0" w:tplc="DCA64F4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569EE"/>
    <w:multiLevelType w:val="hybridMultilevel"/>
    <w:tmpl w:val="4B5209B8"/>
    <w:lvl w:ilvl="0" w:tplc="7F5095CE">
      <w:start w:val="1"/>
      <w:numFmt w:val="bullet"/>
      <w:lvlText w:val=""/>
      <w:lvlJc w:val="left"/>
      <w:pPr>
        <w:ind w:left="-227" w:firstLine="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3B5F6063"/>
    <w:multiLevelType w:val="hybridMultilevel"/>
    <w:tmpl w:val="E39210CC"/>
    <w:lvl w:ilvl="0" w:tplc="DD3E2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834E4"/>
    <w:multiLevelType w:val="hybridMultilevel"/>
    <w:tmpl w:val="BA8E7E0A"/>
    <w:lvl w:ilvl="0" w:tplc="7F5095C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192A9"/>
    <w:multiLevelType w:val="hybridMultilevel"/>
    <w:tmpl w:val="112E8A00"/>
    <w:lvl w:ilvl="0" w:tplc="B672C8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60B5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44D7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80BE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8ADD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6C8C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A290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0230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A83D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6610E7"/>
    <w:multiLevelType w:val="hybridMultilevel"/>
    <w:tmpl w:val="44CA5BE6"/>
    <w:lvl w:ilvl="0" w:tplc="EC66A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371593"/>
    <w:multiLevelType w:val="hybridMultilevel"/>
    <w:tmpl w:val="421225EE"/>
    <w:lvl w:ilvl="0" w:tplc="60A40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4D7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58EC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E802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7ED7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2A0E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AA8F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7867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BE84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A1AF1"/>
    <w:multiLevelType w:val="hybridMultilevel"/>
    <w:tmpl w:val="8BCA4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6743F1"/>
    <w:multiLevelType w:val="hybridMultilevel"/>
    <w:tmpl w:val="32BA5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8B3215"/>
    <w:multiLevelType w:val="hybridMultilevel"/>
    <w:tmpl w:val="13CA7084"/>
    <w:lvl w:ilvl="0" w:tplc="76CCDF2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3803666"/>
    <w:multiLevelType w:val="multilevel"/>
    <w:tmpl w:val="5B100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233BE4"/>
    <w:multiLevelType w:val="hybridMultilevel"/>
    <w:tmpl w:val="3EAA4AF0"/>
    <w:lvl w:ilvl="0" w:tplc="E06E9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557991">
    <w:abstractNumId w:val="4"/>
  </w:num>
  <w:num w:numId="2" w16cid:durableId="66652098">
    <w:abstractNumId w:val="6"/>
  </w:num>
  <w:num w:numId="3" w16cid:durableId="1481654302">
    <w:abstractNumId w:val="17"/>
  </w:num>
  <w:num w:numId="4" w16cid:durableId="62263267">
    <w:abstractNumId w:val="11"/>
  </w:num>
  <w:num w:numId="5" w16cid:durableId="1928415541">
    <w:abstractNumId w:val="5"/>
  </w:num>
  <w:num w:numId="6" w16cid:durableId="1289580584">
    <w:abstractNumId w:val="13"/>
  </w:num>
  <w:num w:numId="7" w16cid:durableId="163016233">
    <w:abstractNumId w:val="14"/>
  </w:num>
  <w:num w:numId="8" w16cid:durableId="1163354594">
    <w:abstractNumId w:val="15"/>
  </w:num>
  <w:num w:numId="9" w16cid:durableId="264188692">
    <w:abstractNumId w:val="2"/>
  </w:num>
  <w:num w:numId="10" w16cid:durableId="1951164785">
    <w:abstractNumId w:val="9"/>
  </w:num>
  <w:num w:numId="11" w16cid:durableId="1280379047">
    <w:abstractNumId w:val="18"/>
  </w:num>
  <w:num w:numId="12" w16cid:durableId="1251960804">
    <w:abstractNumId w:val="1"/>
  </w:num>
  <w:num w:numId="13" w16cid:durableId="1904179326">
    <w:abstractNumId w:val="7"/>
  </w:num>
  <w:num w:numId="14" w16cid:durableId="1736657927">
    <w:abstractNumId w:val="3"/>
  </w:num>
  <w:num w:numId="15" w16cid:durableId="1173763450">
    <w:abstractNumId w:val="10"/>
  </w:num>
  <w:num w:numId="16" w16cid:durableId="1694065228">
    <w:abstractNumId w:val="8"/>
  </w:num>
  <w:num w:numId="17" w16cid:durableId="87889147">
    <w:abstractNumId w:val="16"/>
  </w:num>
  <w:num w:numId="18" w16cid:durableId="651450427">
    <w:abstractNumId w:val="12"/>
  </w:num>
  <w:num w:numId="19" w16cid:durableId="149880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7F"/>
    <w:rsid w:val="000139FF"/>
    <w:rsid w:val="0001784B"/>
    <w:rsid w:val="000F78AF"/>
    <w:rsid w:val="00177202"/>
    <w:rsid w:val="00186915"/>
    <w:rsid w:val="002561E3"/>
    <w:rsid w:val="00275BD9"/>
    <w:rsid w:val="002A41A1"/>
    <w:rsid w:val="002C76E1"/>
    <w:rsid w:val="00324FD4"/>
    <w:rsid w:val="00392794"/>
    <w:rsid w:val="003F7813"/>
    <w:rsid w:val="00441E21"/>
    <w:rsid w:val="004C21CA"/>
    <w:rsid w:val="00522428"/>
    <w:rsid w:val="00564F67"/>
    <w:rsid w:val="00567D4A"/>
    <w:rsid w:val="005A1477"/>
    <w:rsid w:val="006C1559"/>
    <w:rsid w:val="00724B6A"/>
    <w:rsid w:val="00752B6E"/>
    <w:rsid w:val="007B05AA"/>
    <w:rsid w:val="007C7F34"/>
    <w:rsid w:val="0099536F"/>
    <w:rsid w:val="009A513E"/>
    <w:rsid w:val="00B10495"/>
    <w:rsid w:val="00D149BA"/>
    <w:rsid w:val="00D37EB7"/>
    <w:rsid w:val="00EE483D"/>
    <w:rsid w:val="00F12BBB"/>
    <w:rsid w:val="00F20F7F"/>
    <w:rsid w:val="00F8167B"/>
    <w:rsid w:val="00FA76E8"/>
    <w:rsid w:val="00F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BB8A4"/>
  <w15:chartTrackingRefBased/>
  <w15:docId w15:val="{3E8D5900-87F5-914E-849E-956A54AA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36F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36F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E2841" w:themeColor="text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36F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0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36F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536F"/>
    <w:rPr>
      <w:rFonts w:ascii="Times New Roman" w:eastAsiaTheme="majorEastAsia" w:hAnsi="Times New Roman" w:cstheme="majorBidi"/>
      <w:b/>
      <w:color w:val="0E2841" w:themeColor="text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536F"/>
    <w:rPr>
      <w:rFonts w:ascii="Times New Roman" w:eastAsiaTheme="majorEastAsia" w:hAnsi="Times New Roman" w:cstheme="majorBidi"/>
      <w:b/>
      <w:color w:val="000000" w:themeColor="text1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0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F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F7F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F20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F7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20F7F"/>
    <w:rPr>
      <w:rFonts w:asciiTheme="minorHAnsi" w:eastAsiaTheme="minorEastAsia" w:hAnsiTheme="minorHAnsi" w:cstheme="minorBidi"/>
      <w:sz w:val="24"/>
      <w:szCs w:val="24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F20F7F"/>
  </w:style>
  <w:style w:type="table" w:styleId="TableGrid">
    <w:name w:val="Table Grid"/>
    <w:basedOn w:val="TableNormal"/>
    <w:uiPriority w:val="39"/>
    <w:rsid w:val="0099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659</Words>
  <Characters>3570</Characters>
  <Application>Microsoft Office Word</Application>
  <DocSecurity>0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Salla, Anthony</dc:creator>
  <cp:keywords/>
  <dc:description/>
  <cp:lastModifiedBy>Salla, Anthony</cp:lastModifiedBy>
  <cp:revision>21</cp:revision>
  <dcterms:created xsi:type="dcterms:W3CDTF">2026-02-02T16:49:00Z</dcterms:created>
  <dcterms:modified xsi:type="dcterms:W3CDTF">2026-03-19T13:59:00Z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2026-02-02T16:49:24Z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e6fb4bf8-56e1-413d-b69a-53b3ac4848e2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50, 3, 0, 1</vt:lpwstr>
  </property>
</Properties>
</file>