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1D10" w14:textId="77777777" w:rsidR="005D3CEB" w:rsidRPr="005D3CEB" w:rsidRDefault="005D3CEB" w:rsidP="005D3CEB">
      <w:pPr>
        <w:pStyle w:val="Heading2"/>
        <w:snapToGrid w:val="0"/>
        <w:spacing w:before="0"/>
        <w:rPr>
          <w:rFonts w:ascii="Times New Roman" w:hAnsi="Times New Roman" w:cs="Times New Roman"/>
          <w:b/>
          <w:bCs/>
          <w:color w:val="000000" w:themeColor="text1"/>
          <w:sz w:val="24"/>
          <w:szCs w:val="24"/>
        </w:rPr>
      </w:pPr>
      <w:r w:rsidRPr="005D3CEB">
        <w:rPr>
          <w:rFonts w:ascii="Times New Roman" w:eastAsia="Aptos" w:hAnsi="Times New Roman" w:cs="Times New Roman"/>
          <w:b/>
          <w:bCs/>
          <w:color w:val="000000" w:themeColor="text1"/>
          <w:sz w:val="24"/>
          <w:szCs w:val="24"/>
        </w:rPr>
        <w:t>Additional file 2: Draft quality standards</w:t>
      </w:r>
    </w:p>
    <w:p w14:paraId="1B22D9F4" w14:textId="77777777" w:rsidR="003F7813" w:rsidRDefault="003F7813"/>
    <w:p w14:paraId="2310CDAA" w14:textId="77777777" w:rsidR="005D3CEB" w:rsidRDefault="005D3CEB"/>
    <w:p w14:paraId="6A5786A2" w14:textId="77777777" w:rsidR="005D3CEB" w:rsidRDefault="005D3CEB" w:rsidP="005D3CEB">
      <w:pPr>
        <w:rPr>
          <w:rStyle w:val="normaltextrun"/>
          <w:rFonts w:ascii="Arial" w:hAnsi="Arial"/>
          <w:b/>
          <w:bCs/>
          <w:color w:val="000000"/>
          <w:sz w:val="26"/>
          <w:szCs w:val="26"/>
        </w:rPr>
      </w:pPr>
      <w:r w:rsidRPr="59672F92">
        <w:rPr>
          <w:rStyle w:val="normaltextrun"/>
          <w:rFonts w:ascii="Arial" w:hAnsi="Arial"/>
          <w:b/>
          <w:bCs/>
          <w:color w:val="000000" w:themeColor="text1"/>
          <w:sz w:val="26"/>
          <w:szCs w:val="26"/>
        </w:rPr>
        <w:t>Draft Quality Standards for Culturally Appropriate Advocacy Provision</w:t>
      </w:r>
    </w:p>
    <w:p w14:paraId="3AD4E89E" w14:textId="77777777" w:rsidR="005D3CEB" w:rsidRDefault="005D3CEB" w:rsidP="005D3CEB">
      <w:pPr>
        <w:rPr>
          <w:rStyle w:val="normaltextrun"/>
          <w:rFonts w:ascii="Arial" w:hAnsi="Arial"/>
          <w:b/>
          <w:bCs/>
          <w:color w:val="000000"/>
          <w:sz w:val="26"/>
          <w:szCs w:val="26"/>
        </w:rPr>
      </w:pPr>
    </w:p>
    <w:tbl>
      <w:tblPr>
        <w:tblStyle w:val="TableGrid"/>
        <w:tblW w:w="9351" w:type="dxa"/>
        <w:tblLook w:val="04A0" w:firstRow="1" w:lastRow="0" w:firstColumn="1" w:lastColumn="0" w:noHBand="0" w:noVBand="1"/>
      </w:tblPr>
      <w:tblGrid>
        <w:gridCol w:w="704"/>
        <w:gridCol w:w="8647"/>
      </w:tblGrid>
      <w:tr w:rsidR="005D3CEB" w14:paraId="033D59E1" w14:textId="77777777" w:rsidTr="007A3089">
        <w:tc>
          <w:tcPr>
            <w:tcW w:w="704" w:type="dxa"/>
          </w:tcPr>
          <w:p w14:paraId="14ECC13B" w14:textId="77777777" w:rsidR="005D3CEB" w:rsidRPr="006D1662" w:rsidRDefault="005D3CEB" w:rsidP="007A3089">
            <w:pPr>
              <w:rPr>
                <w:b/>
                <w:bCs/>
              </w:rPr>
            </w:pPr>
            <w:r w:rsidRPr="7648620D">
              <w:rPr>
                <w:b/>
                <w:bCs/>
              </w:rPr>
              <w:t>QS</w:t>
            </w:r>
          </w:p>
        </w:tc>
        <w:tc>
          <w:tcPr>
            <w:tcW w:w="8647" w:type="dxa"/>
          </w:tcPr>
          <w:p w14:paraId="59BDA104" w14:textId="77777777" w:rsidR="005D3CEB" w:rsidRPr="006D1662" w:rsidRDefault="005D3CEB" w:rsidP="007A3089">
            <w:pPr>
              <w:rPr>
                <w:rFonts w:ascii="Arial" w:hAnsi="Arial" w:cs="Arial"/>
                <w:b/>
                <w:bCs/>
                <w:color w:val="1D2228"/>
                <w:u w:val="single"/>
              </w:rPr>
            </w:pPr>
            <w:r w:rsidRPr="7648620D">
              <w:rPr>
                <w:b/>
                <w:bCs/>
              </w:rPr>
              <w:t xml:space="preserve">Equitable uptake: Enhanced accessibility and increased availability. </w:t>
            </w:r>
          </w:p>
          <w:p w14:paraId="5AD6F337" w14:textId="77777777" w:rsidR="005D3CEB" w:rsidRPr="006D1662" w:rsidRDefault="005D3CEB" w:rsidP="007A3089">
            <w:pPr>
              <w:rPr>
                <w:b/>
                <w:bCs/>
              </w:rPr>
            </w:pPr>
          </w:p>
        </w:tc>
      </w:tr>
      <w:tr w:rsidR="005D3CEB" w14:paraId="7DDD8F52" w14:textId="77777777" w:rsidTr="007A3089">
        <w:tc>
          <w:tcPr>
            <w:tcW w:w="704" w:type="dxa"/>
          </w:tcPr>
          <w:p w14:paraId="63ADB87F" w14:textId="77777777" w:rsidR="005D3CEB" w:rsidRPr="006D1662" w:rsidRDefault="005D3CEB" w:rsidP="007A3089">
            <w:pPr>
              <w:rPr>
                <w:rFonts w:ascii="Arial" w:hAnsi="Arial" w:cs="Arial"/>
                <w:color w:val="1D2228"/>
              </w:rPr>
            </w:pPr>
            <w:r w:rsidRPr="006D1662">
              <w:t>1a</w:t>
            </w:r>
          </w:p>
        </w:tc>
        <w:tc>
          <w:tcPr>
            <w:tcW w:w="8647" w:type="dxa"/>
          </w:tcPr>
          <w:p w14:paraId="1A8BBCFA" w14:textId="77777777" w:rsidR="005D3CEB" w:rsidRPr="006D1662" w:rsidRDefault="005D3CEB" w:rsidP="007A3089">
            <w:r>
              <w:t>People at risk of Mental Health Act detention have opportunities for advocacy provision as early as possible (e.g. advocacy promotion in places of safety).</w:t>
            </w:r>
          </w:p>
        </w:tc>
      </w:tr>
      <w:tr w:rsidR="005D3CEB" w14:paraId="2E208ECF" w14:textId="77777777" w:rsidTr="007A3089">
        <w:trPr>
          <w:trHeight w:val="300"/>
        </w:trPr>
        <w:tc>
          <w:tcPr>
            <w:tcW w:w="704" w:type="dxa"/>
          </w:tcPr>
          <w:p w14:paraId="37D02816" w14:textId="77777777" w:rsidR="005D3CEB" w:rsidRPr="006D1662" w:rsidRDefault="005D3CEB" w:rsidP="007A3089">
            <w:pPr>
              <w:rPr>
                <w:rFonts w:ascii="Arial" w:hAnsi="Arial" w:cs="Arial"/>
                <w:color w:val="1D2228"/>
              </w:rPr>
            </w:pPr>
            <w:r>
              <w:t>1b</w:t>
            </w:r>
          </w:p>
        </w:tc>
        <w:tc>
          <w:tcPr>
            <w:tcW w:w="8647" w:type="dxa"/>
          </w:tcPr>
          <w:p w14:paraId="479EB207" w14:textId="77777777" w:rsidR="005D3CEB" w:rsidRPr="006D1662" w:rsidRDefault="005D3CEB" w:rsidP="007A3089">
            <w:pPr>
              <w:rPr>
                <w:rStyle w:val="normaltextrun"/>
                <w:rFonts w:ascii="Arial" w:eastAsia="Arial" w:hAnsi="Arial"/>
                <w:sz w:val="20"/>
                <w:szCs w:val="20"/>
              </w:rPr>
            </w:pPr>
            <w:r w:rsidRPr="59672F92">
              <w:t>Information about advocacy, and how to access, is routinely provided to ethnically diverse carers and community representatives, with advocacy services fostering relationships with diverse community resources. </w:t>
            </w:r>
          </w:p>
        </w:tc>
      </w:tr>
      <w:tr w:rsidR="005D3CEB" w14:paraId="01200943" w14:textId="77777777" w:rsidTr="007A3089">
        <w:trPr>
          <w:trHeight w:val="300"/>
        </w:trPr>
        <w:tc>
          <w:tcPr>
            <w:tcW w:w="704" w:type="dxa"/>
          </w:tcPr>
          <w:p w14:paraId="321373FE" w14:textId="77777777" w:rsidR="005D3CEB" w:rsidRPr="006D1662" w:rsidRDefault="005D3CEB" w:rsidP="007A3089">
            <w:pPr>
              <w:rPr>
                <w:rFonts w:ascii="Arial" w:hAnsi="Arial" w:cs="Arial"/>
                <w:color w:val="1F1F1F"/>
              </w:rPr>
            </w:pPr>
            <w:r>
              <w:t>1c</w:t>
            </w:r>
          </w:p>
        </w:tc>
        <w:tc>
          <w:tcPr>
            <w:tcW w:w="8647" w:type="dxa"/>
          </w:tcPr>
          <w:p w14:paraId="2F55941E" w14:textId="77777777" w:rsidR="005D3CEB" w:rsidRPr="00F011F3" w:rsidRDefault="005D3CEB" w:rsidP="007A3089">
            <w:pPr>
              <w:rPr>
                <w:rFonts w:ascii="Arial" w:hAnsi="Arial" w:cs="Arial"/>
                <w:color w:val="1F1F1F"/>
              </w:rPr>
            </w:pPr>
            <w:r>
              <w:t xml:space="preserve">People detained </w:t>
            </w:r>
            <w:proofErr w:type="gramStart"/>
            <w:r>
              <w:t>are able to</w:t>
            </w:r>
            <w:proofErr w:type="gramEnd"/>
            <w:r>
              <w:t xml:space="preserve"> see advocates, in person, at the earliest point possible (e.g. within 3 days of detention). Further attempts to engage should be made if a person is too </w:t>
            </w:r>
            <w:proofErr w:type="gramStart"/>
            <w:r>
              <w:t>unwell, or</w:t>
            </w:r>
            <w:proofErr w:type="gramEnd"/>
            <w:r>
              <w:t xml:space="preserve"> initially declines.</w:t>
            </w:r>
          </w:p>
        </w:tc>
      </w:tr>
      <w:tr w:rsidR="005D3CEB" w14:paraId="24870A0A" w14:textId="77777777" w:rsidTr="007A3089">
        <w:tc>
          <w:tcPr>
            <w:tcW w:w="704" w:type="dxa"/>
          </w:tcPr>
          <w:p w14:paraId="450FF1F5" w14:textId="77777777" w:rsidR="005D3CEB" w:rsidRPr="006D1662" w:rsidRDefault="005D3CEB" w:rsidP="007A3089">
            <w:pPr>
              <w:rPr>
                <w:rFonts w:ascii="Arial" w:hAnsi="Arial" w:cs="Arial"/>
                <w:color w:val="1F1F1F"/>
              </w:rPr>
            </w:pPr>
            <w:r w:rsidRPr="006D1662">
              <w:t>1d</w:t>
            </w:r>
          </w:p>
        </w:tc>
        <w:tc>
          <w:tcPr>
            <w:tcW w:w="8647" w:type="dxa"/>
          </w:tcPr>
          <w:p w14:paraId="0FC21AB3" w14:textId="77777777" w:rsidR="005D3CEB" w:rsidRPr="006D1662" w:rsidRDefault="005D3CEB" w:rsidP="007A3089">
            <w:pPr>
              <w:rPr>
                <w:rFonts w:ascii="Arial" w:hAnsi="Arial" w:cs="Arial"/>
                <w:color w:val="1F1F1F"/>
              </w:rPr>
            </w:pPr>
            <w:r>
              <w:t>Advocacy services take steps to raise mental health professionals’ awareness and understanding of culturally appropriate advocacy.</w:t>
            </w:r>
          </w:p>
        </w:tc>
      </w:tr>
      <w:tr w:rsidR="005D3CEB" w14:paraId="61092DA4" w14:textId="77777777" w:rsidTr="007A3089">
        <w:trPr>
          <w:trHeight w:val="300"/>
        </w:trPr>
        <w:tc>
          <w:tcPr>
            <w:tcW w:w="704" w:type="dxa"/>
          </w:tcPr>
          <w:p w14:paraId="6B98E045" w14:textId="77777777" w:rsidR="005D3CEB" w:rsidRPr="006D1662" w:rsidRDefault="005D3CEB" w:rsidP="007A3089">
            <w:pPr>
              <w:rPr>
                <w:rFonts w:ascii="Arial" w:hAnsi="Arial" w:cs="Arial"/>
                <w:color w:val="1F1F1F"/>
              </w:rPr>
            </w:pPr>
            <w:r>
              <w:t>1e</w:t>
            </w:r>
          </w:p>
        </w:tc>
        <w:tc>
          <w:tcPr>
            <w:tcW w:w="8647" w:type="dxa"/>
          </w:tcPr>
          <w:p w14:paraId="62E0B193" w14:textId="77777777" w:rsidR="005D3CEB" w:rsidRDefault="005D3CEB" w:rsidP="007A3089">
            <w:pPr>
              <w:rPr>
                <w:rFonts w:ascii="Arial" w:hAnsi="Arial" w:cs="Arial"/>
                <w:color w:val="1F1F1F"/>
              </w:rPr>
            </w:pPr>
            <w:r>
              <w:t xml:space="preserve">People detained are clearly offered advocacy at care plan, or other key, meetings. This offer should be made by advocacy organisations. </w:t>
            </w:r>
          </w:p>
        </w:tc>
      </w:tr>
      <w:tr w:rsidR="005D3CEB" w14:paraId="52331130" w14:textId="77777777" w:rsidTr="007A3089">
        <w:tc>
          <w:tcPr>
            <w:tcW w:w="704" w:type="dxa"/>
          </w:tcPr>
          <w:p w14:paraId="3828D33B" w14:textId="77777777" w:rsidR="005D3CEB" w:rsidRPr="006D1662" w:rsidRDefault="005D3CEB" w:rsidP="007A3089">
            <w:pPr>
              <w:rPr>
                <w:rFonts w:ascii="Arial" w:hAnsi="Arial" w:cs="Arial"/>
                <w:color w:val="1F1F1F"/>
              </w:rPr>
            </w:pPr>
            <w:r w:rsidRPr="006D1662">
              <w:t>1f</w:t>
            </w:r>
          </w:p>
        </w:tc>
        <w:tc>
          <w:tcPr>
            <w:tcW w:w="8647" w:type="dxa"/>
          </w:tcPr>
          <w:p w14:paraId="113C526E" w14:textId="77777777" w:rsidR="005D3CEB" w:rsidRDefault="005D3CEB" w:rsidP="007A3089">
            <w:pPr>
              <w:rPr>
                <w:rFonts w:ascii="Arial" w:hAnsi="Arial" w:cs="Arial"/>
                <w:color w:val="1F1F1F"/>
              </w:rPr>
            </w:pPr>
            <w:r>
              <w:t>Advocacy organisations have a minimum weekly presence on wards.</w:t>
            </w:r>
            <w:r w:rsidRPr="59672F92">
              <w:rPr>
                <w:color w:val="FF0000"/>
              </w:rPr>
              <w:t xml:space="preserve"> </w:t>
            </w:r>
          </w:p>
        </w:tc>
      </w:tr>
      <w:tr w:rsidR="005D3CEB" w14:paraId="30DAEB11" w14:textId="77777777" w:rsidTr="007A3089">
        <w:tc>
          <w:tcPr>
            <w:tcW w:w="704" w:type="dxa"/>
          </w:tcPr>
          <w:p w14:paraId="0C27465E" w14:textId="77777777" w:rsidR="005D3CEB" w:rsidRPr="006D1662" w:rsidRDefault="005D3CEB" w:rsidP="007A3089">
            <w:pPr>
              <w:rPr>
                <w:rFonts w:ascii="Arial" w:hAnsi="Arial" w:cs="Arial"/>
                <w:color w:val="1D2228"/>
              </w:rPr>
            </w:pPr>
            <w:r w:rsidRPr="006D1662">
              <w:t>1g</w:t>
            </w:r>
          </w:p>
        </w:tc>
        <w:tc>
          <w:tcPr>
            <w:tcW w:w="8647" w:type="dxa"/>
          </w:tcPr>
          <w:p w14:paraId="59C33526" w14:textId="77777777" w:rsidR="005D3CEB" w:rsidRDefault="005D3CEB" w:rsidP="007A3089">
            <w:pPr>
              <w:rPr>
                <w:rFonts w:ascii="Arial" w:hAnsi="Arial" w:cs="Arial"/>
                <w:color w:val="1D2228"/>
              </w:rPr>
            </w:pPr>
            <w:r>
              <w:t>There is easy access to interpreters for people for whom English is not their first language, or signers for people who are deaf, where services are not directly provided by people from those communities.</w:t>
            </w:r>
          </w:p>
        </w:tc>
      </w:tr>
      <w:tr w:rsidR="005D3CEB" w14:paraId="5D5A5525" w14:textId="77777777" w:rsidTr="007A3089">
        <w:tc>
          <w:tcPr>
            <w:tcW w:w="704" w:type="dxa"/>
          </w:tcPr>
          <w:p w14:paraId="5978B31B" w14:textId="77777777" w:rsidR="005D3CEB" w:rsidRPr="006D1662" w:rsidRDefault="005D3CEB" w:rsidP="007A3089">
            <w:pPr>
              <w:rPr>
                <w:rFonts w:ascii="Arial" w:hAnsi="Arial" w:cs="Arial"/>
                <w:color w:val="1D2228"/>
              </w:rPr>
            </w:pPr>
            <w:r w:rsidRPr="006D1662">
              <w:t>1h</w:t>
            </w:r>
          </w:p>
        </w:tc>
        <w:tc>
          <w:tcPr>
            <w:tcW w:w="8647" w:type="dxa"/>
          </w:tcPr>
          <w:p w14:paraId="067BFB0A" w14:textId="77777777" w:rsidR="005D3CEB" w:rsidRDefault="005D3CEB" w:rsidP="007A3089">
            <w:pPr>
              <w:rPr>
                <w:rStyle w:val="normaltextrun"/>
                <w:rFonts w:ascii="Arial" w:hAnsi="Arial"/>
                <w:sz w:val="20"/>
                <w:szCs w:val="20"/>
              </w:rPr>
            </w:pPr>
            <w:r>
              <w:t xml:space="preserve">Appropriate engagement to ensure an advocacy offer for people conditionally discharged. This includes efforts to establish contact prior to the client being conditionally discharged. </w:t>
            </w:r>
          </w:p>
        </w:tc>
      </w:tr>
      <w:tr w:rsidR="005D3CEB" w14:paraId="3818D312" w14:textId="77777777" w:rsidTr="007A3089">
        <w:tc>
          <w:tcPr>
            <w:tcW w:w="704" w:type="dxa"/>
          </w:tcPr>
          <w:p w14:paraId="6D815437" w14:textId="77777777" w:rsidR="005D3CEB" w:rsidRDefault="005D3CEB" w:rsidP="007A3089">
            <w:pPr>
              <w:rPr>
                <w:rFonts w:ascii="Arial" w:hAnsi="Arial" w:cs="Arial"/>
                <w:color w:val="1D2228"/>
              </w:rPr>
            </w:pPr>
            <w:r>
              <w:t>1j</w:t>
            </w:r>
          </w:p>
        </w:tc>
        <w:tc>
          <w:tcPr>
            <w:tcW w:w="8647" w:type="dxa"/>
          </w:tcPr>
          <w:p w14:paraId="1588B1C7" w14:textId="77777777" w:rsidR="005D3CEB" w:rsidRDefault="005D3CEB" w:rsidP="007A3089">
            <w:r>
              <w:t>Where inequalities in uptake persist, proactive, equity-oriented approaches and practical steps to address these are taken.</w:t>
            </w:r>
          </w:p>
        </w:tc>
      </w:tr>
      <w:tr w:rsidR="005D3CEB" w14:paraId="54E38242" w14:textId="77777777" w:rsidTr="007A3089">
        <w:trPr>
          <w:trHeight w:val="117"/>
        </w:trPr>
        <w:tc>
          <w:tcPr>
            <w:tcW w:w="704" w:type="dxa"/>
          </w:tcPr>
          <w:p w14:paraId="2B6620B9" w14:textId="77777777" w:rsidR="005D3CEB" w:rsidRPr="006D1662" w:rsidRDefault="005D3CEB" w:rsidP="007A3089"/>
        </w:tc>
        <w:tc>
          <w:tcPr>
            <w:tcW w:w="8647" w:type="dxa"/>
          </w:tcPr>
          <w:p w14:paraId="0802221E" w14:textId="77777777" w:rsidR="005D3CEB" w:rsidRPr="006D1662" w:rsidRDefault="005D3CEB" w:rsidP="007A3089"/>
        </w:tc>
      </w:tr>
      <w:tr w:rsidR="005D3CEB" w14:paraId="38C2F656" w14:textId="77777777" w:rsidTr="007A3089">
        <w:tc>
          <w:tcPr>
            <w:tcW w:w="704" w:type="dxa"/>
          </w:tcPr>
          <w:p w14:paraId="37090202" w14:textId="77777777" w:rsidR="005D3CEB" w:rsidRPr="006D1662" w:rsidRDefault="005D3CEB" w:rsidP="007A3089">
            <w:pPr>
              <w:rPr>
                <w:rFonts w:ascii="Arial" w:hAnsi="Arial" w:cs="Arial"/>
                <w:b/>
                <w:bCs/>
                <w:color w:val="1D2228"/>
              </w:rPr>
            </w:pPr>
            <w:r w:rsidRPr="7648620D">
              <w:rPr>
                <w:b/>
                <w:bCs/>
              </w:rPr>
              <w:t>QS</w:t>
            </w:r>
          </w:p>
        </w:tc>
        <w:tc>
          <w:tcPr>
            <w:tcW w:w="8647" w:type="dxa"/>
          </w:tcPr>
          <w:p w14:paraId="6F9ECD02" w14:textId="77777777" w:rsidR="005D3CEB" w:rsidRPr="0097082B" w:rsidRDefault="005D3CEB" w:rsidP="007A3089">
            <w:pPr>
              <w:rPr>
                <w:rFonts w:ascii="Arial" w:hAnsi="Arial" w:cs="Arial"/>
                <w:b/>
                <w:bCs/>
                <w:color w:val="1D2228"/>
                <w:u w:val="single"/>
              </w:rPr>
            </w:pPr>
            <w:r w:rsidRPr="7648620D">
              <w:rPr>
                <w:b/>
                <w:bCs/>
              </w:rPr>
              <w:t>Improving Experience – Patient voice and upholding rights</w:t>
            </w:r>
          </w:p>
          <w:p w14:paraId="3A2BAE1A" w14:textId="77777777" w:rsidR="005D3CEB" w:rsidRPr="006D1662" w:rsidRDefault="005D3CEB" w:rsidP="007A3089">
            <w:pPr>
              <w:rPr>
                <w:b/>
                <w:bCs/>
              </w:rPr>
            </w:pPr>
          </w:p>
        </w:tc>
      </w:tr>
      <w:tr w:rsidR="005D3CEB" w14:paraId="06F470DE" w14:textId="77777777" w:rsidTr="007A3089">
        <w:tc>
          <w:tcPr>
            <w:tcW w:w="704" w:type="dxa"/>
          </w:tcPr>
          <w:p w14:paraId="2A710162" w14:textId="77777777" w:rsidR="005D3CEB" w:rsidRPr="00B50BEB" w:rsidRDefault="005D3CEB" w:rsidP="007A3089">
            <w:pPr>
              <w:rPr>
                <w:rFonts w:ascii="Arial" w:hAnsi="Arial" w:cs="Arial"/>
                <w:color w:val="000000" w:themeColor="text1"/>
              </w:rPr>
            </w:pPr>
            <w:r w:rsidRPr="00B50BEB">
              <w:rPr>
                <w:color w:val="000000" w:themeColor="text1"/>
              </w:rPr>
              <w:t>2a</w:t>
            </w:r>
          </w:p>
        </w:tc>
        <w:tc>
          <w:tcPr>
            <w:tcW w:w="8647" w:type="dxa"/>
          </w:tcPr>
          <w:p w14:paraId="4C4ED2A9" w14:textId="77777777" w:rsidR="005D3CEB" w:rsidRPr="00B50BEB" w:rsidRDefault="005D3CEB" w:rsidP="007A3089">
            <w:pPr>
              <w:rPr>
                <w:rStyle w:val="normaltextrun"/>
                <w:rFonts w:ascii="Arial" w:hAnsi="Arial"/>
                <w:color w:val="000000" w:themeColor="text1"/>
                <w:sz w:val="20"/>
                <w:szCs w:val="20"/>
              </w:rPr>
            </w:pPr>
            <w:r w:rsidRPr="00B50BEB">
              <w:rPr>
                <w:color w:val="000000" w:themeColor="text1"/>
              </w:rPr>
              <w:t>People detained feel satisfied they have had opportunities for meaningful conversation to share their cultural needs with advocates. This includes a feeling that any experiences of racism and mental health stigma have been validated.</w:t>
            </w:r>
          </w:p>
        </w:tc>
      </w:tr>
      <w:tr w:rsidR="005D3CEB" w14:paraId="7437CE89" w14:textId="77777777" w:rsidTr="007A3089">
        <w:tc>
          <w:tcPr>
            <w:tcW w:w="704" w:type="dxa"/>
          </w:tcPr>
          <w:p w14:paraId="6A9AB576" w14:textId="77777777" w:rsidR="005D3CEB" w:rsidRPr="00B50BEB" w:rsidRDefault="005D3CEB" w:rsidP="007A3089">
            <w:pPr>
              <w:rPr>
                <w:rFonts w:ascii="Arial" w:hAnsi="Arial" w:cs="Arial"/>
                <w:color w:val="000000" w:themeColor="text1"/>
              </w:rPr>
            </w:pPr>
            <w:r w:rsidRPr="00B50BEB">
              <w:rPr>
                <w:color w:val="000000" w:themeColor="text1"/>
              </w:rPr>
              <w:t>2b</w:t>
            </w:r>
          </w:p>
        </w:tc>
        <w:tc>
          <w:tcPr>
            <w:tcW w:w="8647" w:type="dxa"/>
          </w:tcPr>
          <w:p w14:paraId="4C304E47" w14:textId="77777777" w:rsidR="005D3CEB" w:rsidRPr="00B50BEB" w:rsidRDefault="005D3CEB" w:rsidP="007A3089">
            <w:pPr>
              <w:rPr>
                <w:rFonts w:ascii="Arial" w:hAnsi="Arial" w:cs="Arial"/>
                <w:color w:val="000000" w:themeColor="text1"/>
              </w:rPr>
            </w:pPr>
            <w:r w:rsidRPr="00B50BEB">
              <w:rPr>
                <w:color w:val="000000" w:themeColor="text1"/>
              </w:rPr>
              <w:t xml:space="preserve">People detained feel satisfied advocates have taken sufficient steps to ensure their cultural and spiritual needs have been fulfilled (e.g. request for visit to Imam) </w:t>
            </w:r>
          </w:p>
        </w:tc>
      </w:tr>
      <w:tr w:rsidR="005D3CEB" w14:paraId="5EE15FB7" w14:textId="77777777" w:rsidTr="007A3089">
        <w:trPr>
          <w:trHeight w:val="300"/>
        </w:trPr>
        <w:tc>
          <w:tcPr>
            <w:tcW w:w="704" w:type="dxa"/>
          </w:tcPr>
          <w:p w14:paraId="1BFB4852" w14:textId="77777777" w:rsidR="005D3CEB" w:rsidRPr="00B50BEB" w:rsidRDefault="005D3CEB" w:rsidP="007A3089">
            <w:pPr>
              <w:rPr>
                <w:color w:val="000000" w:themeColor="text1"/>
              </w:rPr>
            </w:pPr>
            <w:r w:rsidRPr="00B50BEB">
              <w:rPr>
                <w:color w:val="000000" w:themeColor="text1"/>
              </w:rPr>
              <w:t>2c</w:t>
            </w:r>
          </w:p>
        </w:tc>
        <w:tc>
          <w:tcPr>
            <w:tcW w:w="8647" w:type="dxa"/>
          </w:tcPr>
          <w:p w14:paraId="121230A8" w14:textId="77777777" w:rsidR="005D3CEB" w:rsidRPr="00B50BEB" w:rsidRDefault="005D3CEB" w:rsidP="007A3089">
            <w:pPr>
              <w:rPr>
                <w:rStyle w:val="normaltextrun"/>
                <w:rFonts w:ascii="Arial" w:eastAsia="Arial" w:hAnsi="Arial"/>
                <w:color w:val="000000" w:themeColor="text1"/>
                <w:sz w:val="20"/>
                <w:szCs w:val="20"/>
              </w:rPr>
            </w:pPr>
            <w:r w:rsidRPr="00B50BEB">
              <w:rPr>
                <w:color w:val="000000" w:themeColor="text1"/>
              </w:rPr>
              <w:t>Where advocacy is not provided by a community organisation that works with racialised minorities, an effective and equitable partnership with appropriate community organisations is in place to enable advocacy needs to be appropriately met. </w:t>
            </w:r>
          </w:p>
        </w:tc>
      </w:tr>
      <w:tr w:rsidR="005D3CEB" w14:paraId="4822F74D" w14:textId="77777777" w:rsidTr="007A3089">
        <w:trPr>
          <w:trHeight w:val="300"/>
        </w:trPr>
        <w:tc>
          <w:tcPr>
            <w:tcW w:w="704" w:type="dxa"/>
          </w:tcPr>
          <w:p w14:paraId="0721E2A6" w14:textId="77777777" w:rsidR="005D3CEB" w:rsidRPr="00B50BEB" w:rsidRDefault="005D3CEB" w:rsidP="007A3089">
            <w:pPr>
              <w:rPr>
                <w:rFonts w:ascii="Arial" w:hAnsi="Arial" w:cs="Arial"/>
                <w:color w:val="000000" w:themeColor="text1"/>
              </w:rPr>
            </w:pPr>
            <w:r w:rsidRPr="00B50BEB">
              <w:rPr>
                <w:color w:val="000000" w:themeColor="text1"/>
              </w:rPr>
              <w:t>2d</w:t>
            </w:r>
          </w:p>
        </w:tc>
        <w:tc>
          <w:tcPr>
            <w:tcW w:w="8647" w:type="dxa"/>
          </w:tcPr>
          <w:p w14:paraId="3A00B4C0" w14:textId="77777777" w:rsidR="005D3CEB" w:rsidRPr="00B50BEB" w:rsidRDefault="005D3CEB" w:rsidP="007A3089">
            <w:pPr>
              <w:rPr>
                <w:rStyle w:val="eop"/>
                <w:rFonts w:ascii="Arial" w:hAnsi="Arial" w:cs="Arial"/>
                <w:color w:val="000000" w:themeColor="text1"/>
              </w:rPr>
            </w:pPr>
            <w:r w:rsidRPr="00B50BEB">
              <w:rPr>
                <w:color w:val="000000" w:themeColor="text1"/>
              </w:rPr>
              <w:t>People detained express they have had opportunities and support for improved self-determination and self-advocacy (e.g. group advocacy, service user groups, involvement in developing advance choice documents).</w:t>
            </w:r>
          </w:p>
        </w:tc>
      </w:tr>
      <w:tr w:rsidR="005D3CEB" w14:paraId="063BE44D" w14:textId="77777777" w:rsidTr="007A3089">
        <w:trPr>
          <w:trHeight w:val="300"/>
        </w:trPr>
        <w:tc>
          <w:tcPr>
            <w:tcW w:w="704" w:type="dxa"/>
          </w:tcPr>
          <w:p w14:paraId="00761EBE" w14:textId="77777777" w:rsidR="005D3CEB" w:rsidRPr="00B50BEB" w:rsidRDefault="005D3CEB" w:rsidP="007A3089">
            <w:pPr>
              <w:rPr>
                <w:color w:val="000000" w:themeColor="text1"/>
              </w:rPr>
            </w:pPr>
            <w:r w:rsidRPr="00B50BEB">
              <w:rPr>
                <w:color w:val="000000" w:themeColor="text1"/>
              </w:rPr>
              <w:t>2e</w:t>
            </w:r>
          </w:p>
        </w:tc>
        <w:tc>
          <w:tcPr>
            <w:tcW w:w="8647" w:type="dxa"/>
          </w:tcPr>
          <w:p w14:paraId="4E86035D" w14:textId="77777777" w:rsidR="005D3CEB" w:rsidRPr="00B50BEB" w:rsidRDefault="005D3CEB" w:rsidP="007A3089">
            <w:pPr>
              <w:rPr>
                <w:rFonts w:ascii="Arial" w:hAnsi="Arial" w:cs="Arial"/>
                <w:color w:val="000000" w:themeColor="text1"/>
              </w:rPr>
            </w:pPr>
            <w:r w:rsidRPr="00B50BEB">
              <w:rPr>
                <w:color w:val="000000" w:themeColor="text1"/>
              </w:rPr>
              <w:t xml:space="preserve">People detained feel satisfied they have been made aware of their rights in relation to Mental Health Act detention (including rights under Equality and Human Rights law). </w:t>
            </w:r>
          </w:p>
        </w:tc>
      </w:tr>
      <w:tr w:rsidR="005D3CEB" w14:paraId="6A6641EE" w14:textId="77777777" w:rsidTr="007A3089">
        <w:tc>
          <w:tcPr>
            <w:tcW w:w="704" w:type="dxa"/>
          </w:tcPr>
          <w:p w14:paraId="42B210ED" w14:textId="77777777" w:rsidR="005D3CEB" w:rsidRPr="00B50BEB" w:rsidRDefault="005D3CEB" w:rsidP="007A3089">
            <w:pPr>
              <w:spacing w:line="259" w:lineRule="auto"/>
              <w:rPr>
                <w:color w:val="000000" w:themeColor="text1"/>
              </w:rPr>
            </w:pPr>
            <w:r w:rsidRPr="00B50BEB">
              <w:rPr>
                <w:color w:val="000000" w:themeColor="text1"/>
              </w:rPr>
              <w:t>2f</w:t>
            </w:r>
          </w:p>
        </w:tc>
        <w:tc>
          <w:tcPr>
            <w:tcW w:w="8647" w:type="dxa"/>
          </w:tcPr>
          <w:p w14:paraId="44401B5B" w14:textId="77777777" w:rsidR="005D3CEB" w:rsidRPr="00B50BEB" w:rsidRDefault="005D3CEB" w:rsidP="007A3089">
            <w:pPr>
              <w:rPr>
                <w:rFonts w:ascii="Arial" w:hAnsi="Arial" w:cs="Arial"/>
                <w:color w:val="000000" w:themeColor="text1"/>
              </w:rPr>
            </w:pPr>
            <w:r w:rsidRPr="00B50BEB">
              <w:rPr>
                <w:color w:val="000000" w:themeColor="text1"/>
              </w:rPr>
              <w:t xml:space="preserve">People detained feel satisfied that advocates have made sufficient efforts to uphold their rights (e.g. experiencing care to be least restrictive possible). </w:t>
            </w:r>
          </w:p>
        </w:tc>
      </w:tr>
      <w:tr w:rsidR="005D3CEB" w14:paraId="7564BC1F" w14:textId="77777777" w:rsidTr="007A3089">
        <w:tc>
          <w:tcPr>
            <w:tcW w:w="704" w:type="dxa"/>
          </w:tcPr>
          <w:p w14:paraId="6FFC396D" w14:textId="77777777" w:rsidR="005D3CEB" w:rsidRPr="00B50BEB" w:rsidRDefault="005D3CEB" w:rsidP="007A3089">
            <w:pPr>
              <w:rPr>
                <w:color w:val="000000" w:themeColor="text1"/>
              </w:rPr>
            </w:pPr>
            <w:r w:rsidRPr="00B50BEB">
              <w:rPr>
                <w:color w:val="000000" w:themeColor="text1"/>
              </w:rPr>
              <w:t>2g</w:t>
            </w:r>
          </w:p>
        </w:tc>
        <w:tc>
          <w:tcPr>
            <w:tcW w:w="8647" w:type="dxa"/>
          </w:tcPr>
          <w:p w14:paraId="3A33EF01" w14:textId="77777777" w:rsidR="005D3CEB" w:rsidRPr="00B50BEB" w:rsidRDefault="005D3CEB" w:rsidP="007A3089">
            <w:pPr>
              <w:rPr>
                <w:rFonts w:ascii="Arial" w:hAnsi="Arial" w:cs="Arial"/>
                <w:color w:val="000000" w:themeColor="text1"/>
              </w:rPr>
            </w:pPr>
            <w:r w:rsidRPr="00B50BEB">
              <w:rPr>
                <w:color w:val="000000" w:themeColor="text1"/>
              </w:rPr>
              <w:t xml:space="preserve">Patients feel satisfied advocates have sufficiently supported their voice in relation to concerns about injustice(s) and/or in making a complaint (e.g. concerns about patient records). </w:t>
            </w:r>
          </w:p>
        </w:tc>
      </w:tr>
      <w:tr w:rsidR="005D3CEB" w14:paraId="72373CE7" w14:textId="77777777" w:rsidTr="007A3089">
        <w:tc>
          <w:tcPr>
            <w:tcW w:w="704" w:type="dxa"/>
          </w:tcPr>
          <w:p w14:paraId="3491EB65" w14:textId="77777777" w:rsidR="005D3CEB" w:rsidRPr="00B50BEB" w:rsidRDefault="005D3CEB" w:rsidP="007A3089">
            <w:pPr>
              <w:rPr>
                <w:color w:val="000000" w:themeColor="text1"/>
              </w:rPr>
            </w:pPr>
            <w:r w:rsidRPr="00B50BEB">
              <w:rPr>
                <w:color w:val="000000" w:themeColor="text1"/>
              </w:rPr>
              <w:t>2h</w:t>
            </w:r>
          </w:p>
        </w:tc>
        <w:tc>
          <w:tcPr>
            <w:tcW w:w="8647" w:type="dxa"/>
          </w:tcPr>
          <w:p w14:paraId="5D005E87" w14:textId="77777777" w:rsidR="005D3CEB" w:rsidRPr="00B50BEB" w:rsidRDefault="005D3CEB" w:rsidP="007A3089">
            <w:pPr>
              <w:rPr>
                <w:rStyle w:val="normaltextrun"/>
                <w:rFonts w:ascii="Arial" w:eastAsiaTheme="majorEastAsia" w:hAnsi="Arial"/>
                <w:color w:val="000000" w:themeColor="text1"/>
                <w:sz w:val="20"/>
                <w:szCs w:val="20"/>
              </w:rPr>
            </w:pPr>
            <w:r w:rsidRPr="00B50BEB">
              <w:rPr>
                <w:color w:val="000000" w:themeColor="text1"/>
              </w:rPr>
              <w:t>Where requested and appropriate, advocates should work with the patient’s family and include/respect their perspectives. </w:t>
            </w:r>
          </w:p>
        </w:tc>
      </w:tr>
      <w:tr w:rsidR="005D3CEB" w14:paraId="3097475C" w14:textId="77777777" w:rsidTr="007A3089">
        <w:trPr>
          <w:trHeight w:val="300"/>
        </w:trPr>
        <w:tc>
          <w:tcPr>
            <w:tcW w:w="704" w:type="dxa"/>
          </w:tcPr>
          <w:p w14:paraId="4C285E48" w14:textId="77777777" w:rsidR="005D3CEB" w:rsidRDefault="005D3CEB" w:rsidP="007A3089">
            <w:pPr>
              <w:rPr>
                <w:rFonts w:ascii="Arial" w:hAnsi="Arial" w:cs="Arial"/>
                <w:color w:val="1D2228"/>
              </w:rPr>
            </w:pPr>
            <w:r>
              <w:t>2i</w:t>
            </w:r>
          </w:p>
        </w:tc>
        <w:tc>
          <w:tcPr>
            <w:tcW w:w="8647" w:type="dxa"/>
          </w:tcPr>
          <w:p w14:paraId="43B5CD71" w14:textId="77777777" w:rsidR="005D3CEB" w:rsidRDefault="005D3CEB" w:rsidP="007A3089">
            <w:pPr>
              <w:rPr>
                <w:rStyle w:val="normaltextrun"/>
                <w:rFonts w:ascii="Arial" w:eastAsiaTheme="majorEastAsia" w:hAnsi="Arial"/>
                <w:sz w:val="20"/>
                <w:szCs w:val="20"/>
              </w:rPr>
            </w:pPr>
            <w:r>
              <w:t xml:space="preserve">Patients feel satisfied that advocates have sufficiently considered and articulated their concerns about the environmental conditions of their detention and their overall physical and mental wellbeing. </w:t>
            </w:r>
          </w:p>
        </w:tc>
      </w:tr>
      <w:tr w:rsidR="005D3CEB" w14:paraId="644A83DA" w14:textId="77777777" w:rsidTr="007A3089">
        <w:trPr>
          <w:trHeight w:val="300"/>
        </w:trPr>
        <w:tc>
          <w:tcPr>
            <w:tcW w:w="704" w:type="dxa"/>
          </w:tcPr>
          <w:p w14:paraId="3699700F" w14:textId="77777777" w:rsidR="005D3CEB" w:rsidRDefault="005D3CEB" w:rsidP="007A3089">
            <w:pPr>
              <w:rPr>
                <w:rFonts w:ascii="Arial" w:hAnsi="Arial" w:cs="Arial"/>
                <w:color w:val="1D2228"/>
              </w:rPr>
            </w:pPr>
            <w:r>
              <w:t>2j</w:t>
            </w:r>
          </w:p>
        </w:tc>
        <w:tc>
          <w:tcPr>
            <w:tcW w:w="8647" w:type="dxa"/>
          </w:tcPr>
          <w:p w14:paraId="376CCEE9" w14:textId="77777777" w:rsidR="005D3CEB" w:rsidRDefault="005D3CEB" w:rsidP="007A3089">
            <w:pPr>
              <w:rPr>
                <w:rStyle w:val="normaltextrun"/>
                <w:rFonts w:ascii="Arial" w:hAnsi="Arial"/>
                <w:sz w:val="20"/>
                <w:szCs w:val="20"/>
              </w:rPr>
            </w:pPr>
            <w:r>
              <w:t>People detained feel satisfied that the advocate has demonstrated persistence in dealing with their case.</w:t>
            </w:r>
          </w:p>
        </w:tc>
      </w:tr>
      <w:tr w:rsidR="005D3CEB" w14:paraId="548082C9" w14:textId="77777777" w:rsidTr="007A3089">
        <w:trPr>
          <w:trHeight w:val="113"/>
        </w:trPr>
        <w:tc>
          <w:tcPr>
            <w:tcW w:w="704" w:type="dxa"/>
          </w:tcPr>
          <w:p w14:paraId="19B13FC7" w14:textId="77777777" w:rsidR="005D3CEB" w:rsidRPr="00D4046D" w:rsidRDefault="005D3CEB" w:rsidP="007A3089"/>
        </w:tc>
        <w:tc>
          <w:tcPr>
            <w:tcW w:w="8647" w:type="dxa"/>
          </w:tcPr>
          <w:p w14:paraId="3FE87941" w14:textId="77777777" w:rsidR="005D3CEB" w:rsidRPr="00D4046D" w:rsidRDefault="005D3CEB" w:rsidP="007A3089"/>
        </w:tc>
      </w:tr>
      <w:tr w:rsidR="005D3CEB" w14:paraId="273D1ECD" w14:textId="77777777" w:rsidTr="007A3089">
        <w:trPr>
          <w:trHeight w:val="660"/>
        </w:trPr>
        <w:tc>
          <w:tcPr>
            <w:tcW w:w="704" w:type="dxa"/>
          </w:tcPr>
          <w:p w14:paraId="6126407E" w14:textId="77777777" w:rsidR="005D3CEB" w:rsidRPr="006D1662" w:rsidRDefault="005D3CEB" w:rsidP="007A3089">
            <w:pPr>
              <w:rPr>
                <w:b/>
                <w:bCs/>
              </w:rPr>
            </w:pPr>
            <w:r w:rsidRPr="7648620D">
              <w:rPr>
                <w:b/>
                <w:bCs/>
              </w:rPr>
              <w:t>QS</w:t>
            </w:r>
          </w:p>
        </w:tc>
        <w:tc>
          <w:tcPr>
            <w:tcW w:w="8647" w:type="dxa"/>
          </w:tcPr>
          <w:p w14:paraId="13851C0F" w14:textId="77777777" w:rsidR="005D3CEB" w:rsidRPr="006D1662" w:rsidRDefault="005D3CEB" w:rsidP="007A3089">
            <w:pPr>
              <w:rPr>
                <w:rStyle w:val="normaltextrun"/>
                <w:rFonts w:ascii="Arial" w:hAnsi="Arial"/>
                <w:sz w:val="20"/>
                <w:szCs w:val="20"/>
              </w:rPr>
            </w:pPr>
            <w:r w:rsidRPr="59672F92">
              <w:rPr>
                <w:b/>
                <w:bCs/>
              </w:rPr>
              <w:t>Organisational Standards: a tangible commitment to equality, equity of access and providing a culturally relevant approach.</w:t>
            </w:r>
          </w:p>
          <w:p w14:paraId="74922FB5" w14:textId="77777777" w:rsidR="005D3CEB" w:rsidRPr="006D1662" w:rsidRDefault="005D3CEB" w:rsidP="007A3089">
            <w:pPr>
              <w:rPr>
                <w:b/>
                <w:bCs/>
              </w:rPr>
            </w:pPr>
          </w:p>
        </w:tc>
      </w:tr>
      <w:tr w:rsidR="005D3CEB" w14:paraId="4B7A2FC6" w14:textId="77777777" w:rsidTr="007A3089">
        <w:tc>
          <w:tcPr>
            <w:tcW w:w="704" w:type="dxa"/>
          </w:tcPr>
          <w:p w14:paraId="6ED3759D" w14:textId="77777777" w:rsidR="005D3CEB" w:rsidRPr="006D1662" w:rsidRDefault="005D3CEB" w:rsidP="007A3089">
            <w:pPr>
              <w:rPr>
                <w:rFonts w:ascii="Arial" w:hAnsi="Arial" w:cs="Arial"/>
                <w:color w:val="1D2228"/>
              </w:rPr>
            </w:pPr>
            <w:r>
              <w:t>3a</w:t>
            </w:r>
          </w:p>
        </w:tc>
        <w:tc>
          <w:tcPr>
            <w:tcW w:w="8647" w:type="dxa"/>
          </w:tcPr>
          <w:p w14:paraId="4153EB64" w14:textId="77777777" w:rsidR="005D3CEB" w:rsidRPr="0097082B" w:rsidRDefault="005D3CEB" w:rsidP="007A3089">
            <w:pPr>
              <w:rPr>
                <w:rFonts w:ascii="Arial" w:hAnsi="Arial" w:cs="Arial"/>
                <w:color w:val="1D2228"/>
              </w:rPr>
            </w:pPr>
            <w:r>
              <w:t>Wherever possible, people detained have a choice (e.g. gender, ethnicity) of advocate, unless otherwise requested.</w:t>
            </w:r>
          </w:p>
        </w:tc>
      </w:tr>
      <w:tr w:rsidR="005D3CEB" w14:paraId="32144ED8" w14:textId="77777777" w:rsidTr="007A3089">
        <w:trPr>
          <w:trHeight w:val="300"/>
        </w:trPr>
        <w:tc>
          <w:tcPr>
            <w:tcW w:w="704" w:type="dxa"/>
          </w:tcPr>
          <w:p w14:paraId="29878D9B" w14:textId="77777777" w:rsidR="005D3CEB" w:rsidRDefault="005D3CEB" w:rsidP="007A3089">
            <w:r>
              <w:lastRenderedPageBreak/>
              <w:t>3b</w:t>
            </w:r>
          </w:p>
        </w:tc>
        <w:tc>
          <w:tcPr>
            <w:tcW w:w="8647" w:type="dxa"/>
          </w:tcPr>
          <w:p w14:paraId="50504282" w14:textId="77777777" w:rsidR="005D3CEB" w:rsidRDefault="005D3CEB" w:rsidP="007A3089">
            <w:r>
              <w:t>The service supports lived experience by empowering ethnically diverse people to have a stake in the running of the organisation (e.g. as trustees) and facilitates progression from advocacy partner to volunteer and advocate.</w:t>
            </w:r>
          </w:p>
        </w:tc>
      </w:tr>
      <w:tr w:rsidR="005D3CEB" w14:paraId="1B761E54" w14:textId="77777777" w:rsidTr="007A3089">
        <w:trPr>
          <w:trHeight w:val="300"/>
        </w:trPr>
        <w:tc>
          <w:tcPr>
            <w:tcW w:w="704" w:type="dxa"/>
          </w:tcPr>
          <w:p w14:paraId="5021713C" w14:textId="77777777" w:rsidR="005D3CEB" w:rsidRDefault="005D3CEB" w:rsidP="007A3089">
            <w:r>
              <w:t>3c</w:t>
            </w:r>
          </w:p>
        </w:tc>
        <w:tc>
          <w:tcPr>
            <w:tcW w:w="8647" w:type="dxa"/>
          </w:tcPr>
          <w:p w14:paraId="2E01F08D" w14:textId="77777777" w:rsidR="005D3CEB" w:rsidRDefault="005D3CEB" w:rsidP="007A3089">
            <w:r>
              <w:t>There is a robust system of management and accountability for equality outcomes, with regular reports to the senior management team.</w:t>
            </w:r>
          </w:p>
        </w:tc>
      </w:tr>
      <w:tr w:rsidR="005D3CEB" w14:paraId="3EA35071" w14:textId="77777777" w:rsidTr="007A3089">
        <w:trPr>
          <w:trHeight w:val="300"/>
        </w:trPr>
        <w:tc>
          <w:tcPr>
            <w:tcW w:w="704" w:type="dxa"/>
          </w:tcPr>
          <w:p w14:paraId="1D762C79" w14:textId="77777777" w:rsidR="005D3CEB" w:rsidRDefault="005D3CEB" w:rsidP="007A3089">
            <w:r>
              <w:t>3d</w:t>
            </w:r>
          </w:p>
        </w:tc>
        <w:tc>
          <w:tcPr>
            <w:tcW w:w="8647" w:type="dxa"/>
          </w:tcPr>
          <w:p w14:paraId="5994DB06" w14:textId="77777777" w:rsidR="005D3CEB" w:rsidRDefault="005D3CEB" w:rsidP="007A3089">
            <w:pPr>
              <w:rPr>
                <w:rFonts w:ascii="Arial" w:hAnsi="Arial" w:cs="Arial"/>
                <w:color w:val="1D2228"/>
              </w:rPr>
            </w:pPr>
            <w:r>
              <w:t>User-defined success: Outcomes reflect the goals defined by the service users themselves, such as personal growth, changes in treatment plans, improved relationships with care providers, and greater participation in decision-making.</w:t>
            </w:r>
          </w:p>
        </w:tc>
      </w:tr>
      <w:tr w:rsidR="005D3CEB" w14:paraId="40E2A28D" w14:textId="77777777" w:rsidTr="007A3089">
        <w:trPr>
          <w:trHeight w:val="300"/>
        </w:trPr>
        <w:tc>
          <w:tcPr>
            <w:tcW w:w="704" w:type="dxa"/>
          </w:tcPr>
          <w:p w14:paraId="1A51E209" w14:textId="77777777" w:rsidR="005D3CEB" w:rsidRDefault="005D3CEB" w:rsidP="007A3089">
            <w:r>
              <w:t>3e</w:t>
            </w:r>
          </w:p>
        </w:tc>
        <w:tc>
          <w:tcPr>
            <w:tcW w:w="8647" w:type="dxa"/>
          </w:tcPr>
          <w:p w14:paraId="525924B9" w14:textId="77777777" w:rsidR="005D3CEB" w:rsidRDefault="005D3CEB" w:rsidP="007A3089">
            <w:pPr>
              <w:rPr>
                <w:rFonts w:ascii="Arial" w:hAnsi="Arial" w:cs="Arial"/>
                <w:color w:val="1D2228"/>
              </w:rPr>
            </w:pPr>
            <w:r>
              <w:t>Measurable outcomes: Advocacy services should aim to improve tangible outcomes for clients, notably reductions in disproportionate rates of detention, lengths of stay etc. reductions in physical, sexual, and emotional abuse, improvements in mental health (e.g., reduction in depression), quality of life, and reduced mortality. </w:t>
            </w:r>
          </w:p>
        </w:tc>
      </w:tr>
      <w:tr w:rsidR="005D3CEB" w14:paraId="261D12AC" w14:textId="77777777" w:rsidTr="007A3089">
        <w:tc>
          <w:tcPr>
            <w:tcW w:w="704" w:type="dxa"/>
          </w:tcPr>
          <w:p w14:paraId="5182D0CA" w14:textId="77777777" w:rsidR="005D3CEB" w:rsidRPr="006D1662" w:rsidRDefault="005D3CEB" w:rsidP="007A3089">
            <w:r>
              <w:t>3f</w:t>
            </w:r>
          </w:p>
        </w:tc>
        <w:tc>
          <w:tcPr>
            <w:tcW w:w="8647" w:type="dxa"/>
          </w:tcPr>
          <w:p w14:paraId="2290BFDC" w14:textId="77777777" w:rsidR="005D3CEB" w:rsidRPr="0097082B" w:rsidRDefault="005D3CEB" w:rsidP="007A3089">
            <w:r>
              <w:t xml:space="preserve">Advocacy services undertake a regular evaluation of monitoring data. This is not limited to determining equitable uptake. Scope to understand any ethnic differences in experience, including user-defined and other measurable outcomes, should be a part of regular service improvement considerations. </w:t>
            </w:r>
          </w:p>
        </w:tc>
      </w:tr>
      <w:tr w:rsidR="005D3CEB" w14:paraId="2A0E0F27" w14:textId="77777777" w:rsidTr="007A3089">
        <w:tc>
          <w:tcPr>
            <w:tcW w:w="704" w:type="dxa"/>
          </w:tcPr>
          <w:p w14:paraId="4462095B" w14:textId="77777777" w:rsidR="005D3CEB" w:rsidRDefault="005D3CEB" w:rsidP="007A3089">
            <w:r>
              <w:t>3g</w:t>
            </w:r>
          </w:p>
        </w:tc>
        <w:tc>
          <w:tcPr>
            <w:tcW w:w="8647" w:type="dxa"/>
          </w:tcPr>
          <w:p w14:paraId="000DBCBB" w14:textId="77777777" w:rsidR="005D3CEB" w:rsidRPr="0097082B" w:rsidRDefault="005D3CEB" w:rsidP="007A3089">
            <w:r>
              <w:t>Where inequalities in experience persist, proactive, equity-oriented approaches and practical steps to address these are taken.</w:t>
            </w:r>
          </w:p>
        </w:tc>
      </w:tr>
      <w:tr w:rsidR="005D3CEB" w14:paraId="17537E5D" w14:textId="77777777" w:rsidTr="007A3089">
        <w:trPr>
          <w:trHeight w:val="300"/>
        </w:trPr>
        <w:tc>
          <w:tcPr>
            <w:tcW w:w="704" w:type="dxa"/>
          </w:tcPr>
          <w:p w14:paraId="78680E01" w14:textId="77777777" w:rsidR="005D3CEB" w:rsidRDefault="005D3CEB" w:rsidP="007A3089">
            <w:r>
              <w:t>3h</w:t>
            </w:r>
          </w:p>
        </w:tc>
        <w:tc>
          <w:tcPr>
            <w:tcW w:w="8647" w:type="dxa"/>
          </w:tcPr>
          <w:p w14:paraId="4AEE24BD" w14:textId="77777777" w:rsidR="005D3CEB" w:rsidRDefault="005D3CEB" w:rsidP="007A3089">
            <w:pPr>
              <w:rPr>
                <w:rFonts w:ascii="Arial" w:hAnsi="Arial" w:cs="Arial"/>
                <w:sz w:val="22"/>
                <w:szCs w:val="22"/>
              </w:rPr>
            </w:pPr>
            <w:r>
              <w:t>Training and supervision: Advocates receive comprehensive initial and ongoing training to ensure they are equipped with the necessary knowledge and skills. Regular supervision and support are provided to maintain high standards of practice. This includes training in issues around racial injustice, and approaches to providing culturally sensitive advocacy. </w:t>
            </w:r>
          </w:p>
          <w:p w14:paraId="2D04418D" w14:textId="77777777" w:rsidR="005D3CEB" w:rsidRDefault="005D3CEB" w:rsidP="007A3089"/>
        </w:tc>
      </w:tr>
    </w:tbl>
    <w:p w14:paraId="79237BD7" w14:textId="77777777" w:rsidR="005D3CEB" w:rsidRDefault="005D3CEB" w:rsidP="005D3CEB"/>
    <w:p w14:paraId="6152E0F0" w14:textId="77777777" w:rsidR="005D3CEB" w:rsidRDefault="005D3CEB" w:rsidP="005D3CEB"/>
    <w:p w14:paraId="0898D607" w14:textId="77777777" w:rsidR="005D3CEB" w:rsidRDefault="005D3CEB"/>
    <w:sectPr w:rsidR="005D3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EB"/>
    <w:rsid w:val="000139FF"/>
    <w:rsid w:val="000F78AF"/>
    <w:rsid w:val="002561E3"/>
    <w:rsid w:val="002A41A1"/>
    <w:rsid w:val="002C76E1"/>
    <w:rsid w:val="00324FD4"/>
    <w:rsid w:val="003F7813"/>
    <w:rsid w:val="005D3CEB"/>
    <w:rsid w:val="00B50BEB"/>
    <w:rsid w:val="00D14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CE976B"/>
  <w15:chartTrackingRefBased/>
  <w15:docId w15:val="{8888D0D3-4DB2-6349-BE79-08F6F8A1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5D3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CEB"/>
    <w:rPr>
      <w:rFonts w:eastAsiaTheme="majorEastAsia" w:cstheme="majorBidi"/>
      <w:color w:val="272727" w:themeColor="text1" w:themeTint="D8"/>
    </w:rPr>
  </w:style>
  <w:style w:type="paragraph" w:styleId="Title">
    <w:name w:val="Title"/>
    <w:basedOn w:val="Normal"/>
    <w:next w:val="Normal"/>
    <w:link w:val="TitleChar"/>
    <w:uiPriority w:val="10"/>
    <w:qFormat/>
    <w:rsid w:val="005D3C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C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C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3CEB"/>
    <w:rPr>
      <w:i/>
      <w:iCs/>
      <w:color w:val="404040" w:themeColor="text1" w:themeTint="BF"/>
    </w:rPr>
  </w:style>
  <w:style w:type="paragraph" w:styleId="ListParagraph">
    <w:name w:val="List Paragraph"/>
    <w:basedOn w:val="Normal"/>
    <w:uiPriority w:val="34"/>
    <w:qFormat/>
    <w:rsid w:val="005D3CEB"/>
    <w:pPr>
      <w:ind w:left="720"/>
      <w:contextualSpacing/>
    </w:pPr>
  </w:style>
  <w:style w:type="character" w:styleId="IntenseEmphasis">
    <w:name w:val="Intense Emphasis"/>
    <w:basedOn w:val="DefaultParagraphFont"/>
    <w:uiPriority w:val="21"/>
    <w:qFormat/>
    <w:rsid w:val="005D3CEB"/>
    <w:rPr>
      <w:i/>
      <w:iCs/>
      <w:color w:val="0F4761" w:themeColor="accent1" w:themeShade="BF"/>
    </w:rPr>
  </w:style>
  <w:style w:type="paragraph" w:styleId="IntenseQuote">
    <w:name w:val="Intense Quote"/>
    <w:basedOn w:val="Normal"/>
    <w:next w:val="Normal"/>
    <w:link w:val="IntenseQuoteChar"/>
    <w:uiPriority w:val="30"/>
    <w:qFormat/>
    <w:rsid w:val="005D3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CEB"/>
    <w:rPr>
      <w:i/>
      <w:iCs/>
      <w:color w:val="0F4761" w:themeColor="accent1" w:themeShade="BF"/>
    </w:rPr>
  </w:style>
  <w:style w:type="character" w:styleId="IntenseReference">
    <w:name w:val="Intense Reference"/>
    <w:basedOn w:val="DefaultParagraphFont"/>
    <w:uiPriority w:val="32"/>
    <w:qFormat/>
    <w:rsid w:val="005D3CEB"/>
    <w:rPr>
      <w:b/>
      <w:bCs/>
      <w:smallCaps/>
      <w:color w:val="0F4761" w:themeColor="accent1" w:themeShade="BF"/>
      <w:spacing w:val="5"/>
    </w:rPr>
  </w:style>
  <w:style w:type="table" w:styleId="TableGrid">
    <w:name w:val="Table Grid"/>
    <w:basedOn w:val="TableNormal"/>
    <w:uiPriority w:val="39"/>
    <w:qFormat/>
    <w:rsid w:val="005D3CEB"/>
    <w:rPr>
      <w:rFonts w:ascii="Times New Roman" w:eastAsia="SimSu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qFormat/>
    <w:rsid w:val="005D3CEB"/>
    <w:rPr>
      <w:rFonts w:ascii="Aptos" w:eastAsia="MS Mincho" w:hAnsi="Aptos" w:cs="Arial"/>
      <w:sz w:val="24"/>
      <w:szCs w:val="24"/>
    </w:rPr>
  </w:style>
  <w:style w:type="character" w:customStyle="1" w:styleId="eop">
    <w:name w:val="eop"/>
    <w:qFormat/>
    <w:rsid w:val="005D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4764</Characters>
  <Application>Microsoft Office Word</Application>
  <DocSecurity>0</DocSecurity>
  <Lines>113</Lines>
  <Paragraphs>72</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Anthony</dc:creator>
  <cp:keywords/>
  <dc:description/>
  <cp:lastModifiedBy>Salla, Anthony</cp:lastModifiedBy>
  <cp:revision>2</cp:revision>
  <dcterms:created xsi:type="dcterms:W3CDTF">2026-03-19T15:55:00Z</dcterms:created>
  <dcterms:modified xsi:type="dcterms:W3CDTF">2026-03-19T16:12:00Z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2026-03-19T15:59:03Z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4848e8c8-ab91-4843-8476-26e15cfccfcf</vt:lpwstr>
  </property>
  <property fmtid="{D5CDD505-2E9C-101B-9397-08002B2CF9AE}" pid="8" name="MSIP_Label_06c24981-b6df-48f8-949b-0896357b9b03_ContentBits">
    <vt:lpwstr>0</vt:lpwstr>
  </property>
  <property fmtid="{D5CDD505-2E9C-101B-9397-08002B2CF9AE}" pid="9" name="MSIP_Label_06c24981-b6df-48f8-949b-0896357b9b03_Tag">
    <vt:lpwstr>50, 3, 0, 1</vt:lpwstr>
  </property>
</Properties>
</file>