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682C" w14:textId="77777777" w:rsidR="00A3389C" w:rsidRPr="00A3389C" w:rsidRDefault="00A3389C" w:rsidP="00A3389C">
      <w:pPr>
        <w:pStyle w:val="Heading2"/>
        <w:snapToGrid w:val="0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3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 4: Focus group coding framework</w:t>
      </w:r>
    </w:p>
    <w:p w14:paraId="229C108A" w14:textId="77777777" w:rsidR="00A3389C" w:rsidRDefault="00A3389C" w:rsidP="00A3389C">
      <w:pPr>
        <w:pStyle w:val="Heading2"/>
        <w:snapToGrid w:val="0"/>
        <w:spacing w:before="0"/>
      </w:pPr>
    </w:p>
    <w:p w14:paraId="58334C95" w14:textId="77777777" w:rsidR="00A3389C" w:rsidRDefault="00A3389C" w:rsidP="00A3389C">
      <w:pPr>
        <w:pStyle w:val="Heading2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6124"/>
      </w:tblGrid>
      <w:tr w:rsidR="00A3389C" w:rsidRPr="00D71325" w14:paraId="64D3DCA4" w14:textId="77777777" w:rsidTr="007A3089">
        <w:trPr>
          <w:trHeight w:val="300"/>
        </w:trPr>
        <w:tc>
          <w:tcPr>
            <w:tcW w:w="4185" w:type="dxa"/>
            <w:hideMark/>
          </w:tcPr>
          <w:p w14:paraId="430DD0C9" w14:textId="77777777" w:rsidR="00A3389C" w:rsidRPr="00AA67BB" w:rsidRDefault="00A3389C" w:rsidP="007A3089">
            <w:pPr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AA67BB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  <w:lang w:val="en-AU"/>
              </w:rPr>
              <w:t>Name</w:t>
            </w:r>
          </w:p>
        </w:tc>
        <w:tc>
          <w:tcPr>
            <w:tcW w:w="9750" w:type="dxa"/>
            <w:hideMark/>
          </w:tcPr>
          <w:p w14:paraId="040F9500" w14:textId="77777777" w:rsidR="00A3389C" w:rsidRPr="00AA67BB" w:rsidRDefault="00A3389C" w:rsidP="007A3089">
            <w:pPr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AA67BB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  <w:lang w:val="en-AU"/>
              </w:rPr>
              <w:t>Description</w:t>
            </w:r>
          </w:p>
        </w:tc>
      </w:tr>
      <w:tr w:rsidR="00A3389C" w:rsidRPr="00D71325" w14:paraId="0C5BD817" w14:textId="77777777" w:rsidTr="007A3089">
        <w:trPr>
          <w:trHeight w:val="300"/>
        </w:trPr>
        <w:tc>
          <w:tcPr>
            <w:tcW w:w="4185" w:type="dxa"/>
            <w:hideMark/>
          </w:tcPr>
          <w:p w14:paraId="2EC46FE6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Advocacy organisational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10588B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Advocacy organisational levels factors that serve as facilitators or barriers to the accessibility of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45DB8FF" w14:textId="77777777" w:rsidTr="007A3089">
        <w:trPr>
          <w:trHeight w:val="300"/>
        </w:trPr>
        <w:tc>
          <w:tcPr>
            <w:tcW w:w="4185" w:type="dxa"/>
            <w:hideMark/>
          </w:tcPr>
          <w:p w14:paraId="3A7D8F85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Barriers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DF7BEC0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Organisational factors that serve as barriers to accessing advocacy - e.g. staff shortages, timing about when advocacy is provided/structural flexibility. How advocacy organisational arrangements allow for consistency &amp; continuity in advocate/client relationship, how relationships are maintained across transitions, boundaries and rocky roads, discharge, community to inpatient etc.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79667D8" w14:textId="77777777" w:rsidTr="007A3089">
        <w:trPr>
          <w:trHeight w:val="300"/>
        </w:trPr>
        <w:tc>
          <w:tcPr>
            <w:tcW w:w="4185" w:type="dxa"/>
            <w:hideMark/>
          </w:tcPr>
          <w:p w14:paraId="3A8EE22F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Cultural competence of advocacy organisation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687ECD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Targeted provision, advertising, workforce representation, addressing inequality, investment, organisational policy focus, consideration of cultural competence. Options for choice of advocate, can be around identity &amp; connection, Across all sorts of shared identity/ points of connection.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1C0D1CF" w14:textId="77777777" w:rsidTr="007A3089">
        <w:trPr>
          <w:trHeight w:val="300"/>
        </w:trPr>
        <w:tc>
          <w:tcPr>
            <w:tcW w:w="4185" w:type="dxa"/>
            <w:hideMark/>
          </w:tcPr>
          <w:p w14:paraId="601AC4F3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Facilitators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E02854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Organisational level facilitators to access and engagement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C8D55EA" w14:textId="77777777" w:rsidTr="007A3089">
        <w:trPr>
          <w:trHeight w:val="300"/>
        </w:trPr>
        <w:tc>
          <w:tcPr>
            <w:tcW w:w="4185" w:type="dxa"/>
            <w:hideMark/>
          </w:tcPr>
          <w:p w14:paraId="1D3DCF56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Advocacy relationship (individual)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747E79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Strong or weak aspects of the relationship between client and advocate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BC8B224" w14:textId="77777777" w:rsidTr="007A3089">
        <w:trPr>
          <w:trHeight w:val="300"/>
        </w:trPr>
        <w:tc>
          <w:tcPr>
            <w:tcW w:w="4185" w:type="dxa"/>
            <w:hideMark/>
          </w:tcPr>
          <w:p w14:paraId="6525D0B7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characteristics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6C4ED1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Specific reference to advocate characteristics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skills, gender, class etc.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811B979" w14:textId="77777777" w:rsidTr="007A3089">
        <w:trPr>
          <w:trHeight w:val="300"/>
        </w:trPr>
        <w:tc>
          <w:tcPr>
            <w:tcW w:w="4185" w:type="dxa"/>
            <w:hideMark/>
          </w:tcPr>
          <w:p w14:paraId="5D671C2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Barrier to building positive relationship with advocate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7B078A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 xml:space="preserve">Barriers to building a positive relationship with an 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 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lack of trust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B43C5F0" w14:textId="77777777" w:rsidTr="007A3089">
        <w:trPr>
          <w:trHeight w:val="300"/>
        </w:trPr>
        <w:tc>
          <w:tcPr>
            <w:tcW w:w="4185" w:type="dxa"/>
            <w:hideMark/>
          </w:tcPr>
          <w:p w14:paraId="4B0514C6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Continuity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CFAC427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Continuity of the relationship with an advocate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on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24232DB" w14:textId="77777777" w:rsidTr="007A3089">
        <w:trPr>
          <w:trHeight w:val="300"/>
        </w:trPr>
        <w:tc>
          <w:tcPr>
            <w:tcW w:w="4185" w:type="dxa"/>
            <w:hideMark/>
          </w:tcPr>
          <w:p w14:paraId="520D63C0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Culturally responsive or sensitive approaches (individual level)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6B8953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Culturally responsive or sensitive approaches (individual level) acts by an advocate which demonstrate they have responded to a cultural difference in a competent fashion, supporting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racialised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people, showing curiosity, validating experience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10AEDC56" w14:textId="77777777" w:rsidTr="007A3089">
        <w:trPr>
          <w:trHeight w:val="300"/>
        </w:trPr>
        <w:tc>
          <w:tcPr>
            <w:tcW w:w="4185" w:type="dxa"/>
            <w:hideMark/>
          </w:tcPr>
          <w:p w14:paraId="50A5D266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Engagement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48580E7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Aspects of the context of initial meeting/introduction and that facilitated engagement and/or the ongoing relationship: Gentle, flexible, personalised approach, trust building, listening, info gathering, normalising, validating, non-judgemental, safe space, being informal, trauma informed, awareness and care around triggers, understanding root causes of strong emotions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0F2F82D" w14:textId="77777777" w:rsidTr="007A3089">
        <w:trPr>
          <w:trHeight w:val="300"/>
        </w:trPr>
        <w:tc>
          <w:tcPr>
            <w:tcW w:w="4185" w:type="dxa"/>
            <w:hideMark/>
          </w:tcPr>
          <w:p w14:paraId="1F478E7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Advocacy role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731EA37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Expectations of the advocacy role by advocate or service users. Staff understandings are under the MH context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E590188" w14:textId="77777777" w:rsidTr="007A3089">
        <w:trPr>
          <w:trHeight w:val="300"/>
        </w:trPr>
        <w:tc>
          <w:tcPr>
            <w:tcW w:w="4185" w:type="dxa"/>
            <w:hideMark/>
          </w:tcPr>
          <w:p w14:paraId="3427B907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Advocates understandings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2F223E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Advocates understanding of their own role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1E0FFC6" w14:textId="77777777" w:rsidTr="007A3089">
        <w:trPr>
          <w:trHeight w:val="300"/>
        </w:trPr>
        <w:tc>
          <w:tcPr>
            <w:tcW w:w="4185" w:type="dxa"/>
            <w:hideMark/>
          </w:tcPr>
          <w:p w14:paraId="479C8E5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 user understandings of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C0E0BA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What is understood by the term advocacy and the role of advocates including expectations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E3AABAE" w14:textId="77777777" w:rsidTr="007A3089">
        <w:trPr>
          <w:trHeight w:val="300"/>
        </w:trPr>
        <w:tc>
          <w:tcPr>
            <w:tcW w:w="4185" w:type="dxa"/>
            <w:hideMark/>
          </w:tcPr>
          <w:p w14:paraId="4FC1121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Carers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CDEE66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Any mention of carers/family members.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16FC2EBC" w14:textId="77777777" w:rsidTr="007A3089">
        <w:trPr>
          <w:trHeight w:val="300"/>
        </w:trPr>
        <w:tc>
          <w:tcPr>
            <w:tcW w:w="4185" w:type="dxa"/>
            <w:hideMark/>
          </w:tcPr>
          <w:p w14:paraId="3BD90203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Commissioning context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F2EF1B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How advocacy is being commissioned and the reporting requirements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274A394" w14:textId="77777777" w:rsidTr="007A3089">
        <w:trPr>
          <w:trHeight w:val="300"/>
        </w:trPr>
        <w:tc>
          <w:tcPr>
            <w:tcW w:w="4185" w:type="dxa"/>
            <w:hideMark/>
          </w:tcPr>
          <w:p w14:paraId="6399A4A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Coproduction/SU involvement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84FA4D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Any reference to the importance of lived experience in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369B07B1" w14:textId="77777777" w:rsidTr="007A3089">
        <w:trPr>
          <w:trHeight w:val="300"/>
        </w:trPr>
        <w:tc>
          <w:tcPr>
            <w:tcW w:w="4185" w:type="dxa"/>
            <w:hideMark/>
          </w:tcPr>
          <w:p w14:paraId="0FB430D2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Epistemic injustice (advocate or SU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EC1A9C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References to not being heard or understood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40DA7CB" w14:textId="77777777" w:rsidTr="007A3089">
        <w:trPr>
          <w:trHeight w:val="300"/>
        </w:trPr>
        <w:tc>
          <w:tcPr>
            <w:tcW w:w="4185" w:type="dxa"/>
            <w:hideMark/>
          </w:tcPr>
          <w:p w14:paraId="7482E75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lastRenderedPageBreak/>
              <w:t>Experiences of MH support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CF0FC5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 user experiences of mental health support, as an in-patient or in the community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CA3114E" w14:textId="77777777" w:rsidTr="007A3089">
        <w:trPr>
          <w:trHeight w:val="300"/>
        </w:trPr>
        <w:tc>
          <w:tcPr>
            <w:tcW w:w="4185" w:type="dxa"/>
            <w:hideMark/>
          </w:tcPr>
          <w:p w14:paraId="3AEAD8D5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Hospitalisation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E8D452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Experiences of being an inpatient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6E0DE66" w14:textId="77777777" w:rsidTr="007A3089">
        <w:trPr>
          <w:trHeight w:val="300"/>
        </w:trPr>
        <w:tc>
          <w:tcPr>
            <w:tcW w:w="4185" w:type="dxa"/>
            <w:hideMark/>
          </w:tcPr>
          <w:p w14:paraId="46DBCE41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Lack of cultural awareness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9846342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 lack of cultural awareness by staff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3D15C000" w14:textId="77777777" w:rsidTr="007A3089">
        <w:trPr>
          <w:trHeight w:val="300"/>
        </w:trPr>
        <w:tc>
          <w:tcPr>
            <w:tcW w:w="4185" w:type="dxa"/>
            <w:hideMark/>
          </w:tcPr>
          <w:p w14:paraId="5BC0DFF8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Medication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15D230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References to medication, positive or negative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E0C9C32" w14:textId="77777777" w:rsidTr="007A3089">
        <w:trPr>
          <w:trHeight w:val="300"/>
        </w:trPr>
        <w:tc>
          <w:tcPr>
            <w:tcW w:w="4185" w:type="dxa"/>
            <w:hideMark/>
          </w:tcPr>
          <w:p w14:paraId="06738E87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Power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A2F924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Specific references to an imbalance of power between service users and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staff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E2BCE2D" w14:textId="77777777" w:rsidTr="007A3089">
        <w:trPr>
          <w:trHeight w:val="300"/>
        </w:trPr>
        <w:tc>
          <w:tcPr>
            <w:tcW w:w="4185" w:type="dxa"/>
            <w:hideMark/>
          </w:tcPr>
          <w:p w14:paraId="34D0E62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Mental health context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D1B5F82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Aspects of the mental health context that support or hinder the operation of advocates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C7F612B" w14:textId="77777777" w:rsidTr="007A3089">
        <w:trPr>
          <w:trHeight w:val="300"/>
        </w:trPr>
        <w:tc>
          <w:tcPr>
            <w:tcW w:w="4185" w:type="dxa"/>
            <w:hideMark/>
          </w:tcPr>
          <w:p w14:paraId="619166E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Community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22625A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Involvement of community organisations, positive or negative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3CADD85" w14:textId="77777777" w:rsidTr="007A3089">
        <w:trPr>
          <w:trHeight w:val="300"/>
        </w:trPr>
        <w:tc>
          <w:tcPr>
            <w:tcW w:w="4185" w:type="dxa"/>
            <w:hideMark/>
          </w:tcPr>
          <w:p w14:paraId="2DBF7EDF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Funding issues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672F91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 to issues with funding in advocate or other mental health service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2F67E38" w14:textId="77777777" w:rsidTr="007A3089">
        <w:trPr>
          <w:trHeight w:val="300"/>
        </w:trPr>
        <w:tc>
          <w:tcPr>
            <w:tcW w:w="4185" w:type="dxa"/>
            <w:hideMark/>
          </w:tcPr>
          <w:p w14:paraId="38A0FBF4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Independent sector provision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2EE81C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services provided by the independent (generally for profit) sector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B364083" w14:textId="77777777" w:rsidTr="007A3089">
        <w:trPr>
          <w:trHeight w:val="300"/>
        </w:trPr>
        <w:tc>
          <w:tcPr>
            <w:tcW w:w="4185" w:type="dxa"/>
            <w:hideMark/>
          </w:tcPr>
          <w:p w14:paraId="25552800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Mental health system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EEC52E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The ecosystem of mental health services, supports and partnerships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20645CB" w14:textId="77777777" w:rsidTr="007A3089">
        <w:trPr>
          <w:trHeight w:val="300"/>
        </w:trPr>
        <w:tc>
          <w:tcPr>
            <w:tcW w:w="4185" w:type="dxa"/>
            <w:hideMark/>
          </w:tcPr>
          <w:p w14:paraId="4B55C971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staff and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51DC473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Mental health organisational structure that supports or hinders advocates- i.e. bad ward culture, bad structural organisation, poor regulation etc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6D62158" w14:textId="77777777" w:rsidTr="007A3089">
        <w:trPr>
          <w:trHeight w:val="300"/>
        </w:trPr>
        <w:tc>
          <w:tcPr>
            <w:tcW w:w="4185" w:type="dxa"/>
            <w:hideMark/>
          </w:tcPr>
          <w:p w14:paraId="55B06AAA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staff attitudes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BF8E78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staff attitudes that support or hinder the operation of culturally appropriate advocates e.g. attitudes towards people with mental health problems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A7ABAB0" w14:textId="77777777" w:rsidTr="007A3089">
        <w:trPr>
          <w:trHeight w:val="300"/>
        </w:trPr>
        <w:tc>
          <w:tcPr>
            <w:tcW w:w="4185" w:type="dxa"/>
            <w:hideMark/>
          </w:tcPr>
          <w:p w14:paraId="1FCA12F3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Staff expectations of advocacy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645AFE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staff understanding and/or expectations of advocacy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to deal with challenging behaviour, to challenge violence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8CC9D7D" w14:textId="77777777" w:rsidTr="007A3089">
        <w:trPr>
          <w:trHeight w:val="300"/>
        </w:trPr>
        <w:tc>
          <w:tcPr>
            <w:tcW w:w="4185" w:type="dxa"/>
            <w:hideMark/>
          </w:tcPr>
          <w:p w14:paraId="3158D67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Need for training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829707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Any mention of training, something particularly helpful in training, anything missing from existing training, suggestions + or -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3B981FDB" w14:textId="77777777" w:rsidTr="007A3089">
        <w:trPr>
          <w:trHeight w:val="300"/>
        </w:trPr>
        <w:tc>
          <w:tcPr>
            <w:tcW w:w="4185" w:type="dxa"/>
            <w:hideMark/>
          </w:tcPr>
          <w:p w14:paraId="4CC27B7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Advocates and advocacy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C080AE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Training/ development for advocates and advocacy organisations, something particularly helpful in training, anything missing from existing training, suggestions + or -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FE631AA" w14:textId="77777777" w:rsidTr="007A3089">
        <w:trPr>
          <w:trHeight w:val="300"/>
        </w:trPr>
        <w:tc>
          <w:tcPr>
            <w:tcW w:w="4185" w:type="dxa"/>
            <w:hideMark/>
          </w:tcPr>
          <w:p w14:paraId="560AF4C4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Community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D5CE5BB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Training/ development for community organisations, something particularly helpful in training, anything missing from existing training, suggestions + or -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2657C35" w14:textId="77777777" w:rsidTr="007A3089">
        <w:trPr>
          <w:trHeight w:val="300"/>
        </w:trPr>
        <w:tc>
          <w:tcPr>
            <w:tcW w:w="4185" w:type="dxa"/>
            <w:hideMark/>
          </w:tcPr>
          <w:p w14:paraId="6D0C34FA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MH staff and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8593C2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Training/ development for MH staff and their organisations, something particularly helpful in training, anything missing from existing training, suggestions + or -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3118BCC6" w14:textId="77777777" w:rsidTr="007A3089">
        <w:trPr>
          <w:trHeight w:val="300"/>
        </w:trPr>
        <w:tc>
          <w:tcPr>
            <w:tcW w:w="4185" w:type="dxa"/>
            <w:hideMark/>
          </w:tcPr>
          <w:p w14:paraId="6A5AE780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Other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C700912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References to other forms of advocacy (i.e. domestic violence advocacy) and/or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whether  if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unclear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it’s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mental health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335F2BC" w14:textId="77777777" w:rsidTr="007A3089">
        <w:trPr>
          <w:trHeight w:val="300"/>
        </w:trPr>
        <w:tc>
          <w:tcPr>
            <w:tcW w:w="4185" w:type="dxa"/>
            <w:hideMark/>
          </w:tcPr>
          <w:p w14:paraId="1D0ECB7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other expectations of advocates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BA0CF1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D78E03D" w14:textId="77777777" w:rsidTr="007A3089">
        <w:trPr>
          <w:trHeight w:val="300"/>
        </w:trPr>
        <w:tc>
          <w:tcPr>
            <w:tcW w:w="4185" w:type="dxa"/>
            <w:hideMark/>
          </w:tcPr>
          <w:p w14:paraId="07ADEB6B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Outcomes from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62D288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Tangible outcomes attributed to the involvement of an advocate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F5F622B" w14:textId="77777777" w:rsidTr="007A3089">
        <w:trPr>
          <w:trHeight w:val="300"/>
        </w:trPr>
        <w:tc>
          <w:tcPr>
            <w:tcW w:w="4185" w:type="dxa"/>
            <w:hideMark/>
          </w:tcPr>
          <w:p w14:paraId="213F8783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Discharge from section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D3E701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Reduction in length of stay or discharge from section resulting from advocacy involvement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5FE7C6A" w14:textId="77777777" w:rsidTr="007A3089">
        <w:trPr>
          <w:trHeight w:val="300"/>
        </w:trPr>
        <w:tc>
          <w:tcPr>
            <w:tcW w:w="4185" w:type="dxa"/>
            <w:hideMark/>
          </w:tcPr>
          <w:p w14:paraId="09460BD4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Empowerment and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self advocacy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F406F66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supporting a client to have a voice, be empowered, relating to encounters with staff around poor relationships (no dignity, inadequate or conflicting information, not listening to patients, wrong communication, rude, disrespectful, poor attitudes, lack of shared decision-making)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6EEB2B8" w14:textId="77777777" w:rsidTr="007A3089">
        <w:trPr>
          <w:trHeight w:val="300"/>
        </w:trPr>
        <w:tc>
          <w:tcPr>
            <w:tcW w:w="4185" w:type="dxa"/>
            <w:hideMark/>
          </w:tcPr>
          <w:p w14:paraId="4EF7B89C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Empowerment and self-advocacy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10722B2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 xml:space="preserve">Advocate supporting a client to have a voice, be empowered, relating to encounters with staff around poor relationships (no dignity, inadequate or conflicting information, not listening to </w:t>
            </w: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lastRenderedPageBreak/>
              <w:t>patients, wrong communication, rude, disrespectful, poor attitudes, lack of shared decision-making)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17CE90C" w14:textId="77777777" w:rsidTr="007A3089">
        <w:trPr>
          <w:trHeight w:val="300"/>
        </w:trPr>
        <w:tc>
          <w:tcPr>
            <w:tcW w:w="4185" w:type="dxa"/>
            <w:hideMark/>
          </w:tcPr>
          <w:p w14:paraId="0E4AE2C3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lastRenderedPageBreak/>
              <w:t>Hope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9EA02D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 user description that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they  felt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more hopeful, related to the future after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1AA75ADB" w14:textId="77777777" w:rsidTr="007A3089">
        <w:trPr>
          <w:trHeight w:val="300"/>
        </w:trPr>
        <w:tc>
          <w:tcPr>
            <w:tcW w:w="4185" w:type="dxa"/>
            <w:hideMark/>
          </w:tcPr>
          <w:p w14:paraId="40054880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Hope sentiment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5BB39DB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 user hope for better future following 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6C49E96" w14:textId="77777777" w:rsidTr="007A3089">
        <w:trPr>
          <w:trHeight w:val="300"/>
        </w:trPr>
        <w:tc>
          <w:tcPr>
            <w:tcW w:w="4185" w:type="dxa"/>
            <w:hideMark/>
          </w:tcPr>
          <w:p w14:paraId="2155444D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Improved clinical care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F29EF0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supporting a client to have a voice, be empowered, relating to clinical matters, including quality (inadequate consideration/examination, substandard care, poor or unsuccessful clinical treatment) or safety (erroneous diagnosis, prescribing difficulties, events threatening patient safety (clinically)).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D7CC6C8" w14:textId="77777777" w:rsidTr="007A3089">
        <w:trPr>
          <w:trHeight w:val="300"/>
        </w:trPr>
        <w:tc>
          <w:tcPr>
            <w:tcW w:w="4185" w:type="dxa"/>
            <w:hideMark/>
          </w:tcPr>
          <w:p w14:paraId="2004CAA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Improved quality of life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2DFC45B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Improved quality of life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as a result of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advocate services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AB44531" w14:textId="77777777" w:rsidTr="007A3089">
        <w:trPr>
          <w:trHeight w:val="300"/>
        </w:trPr>
        <w:tc>
          <w:tcPr>
            <w:tcW w:w="4185" w:type="dxa"/>
            <w:hideMark/>
          </w:tcPr>
          <w:p w14:paraId="06E2938B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Improved relationships with staff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D42E76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Improvements in the relationships with staff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being treated with more dignity and respect, more shared decision-making, being listened to by staff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84A9EB8" w14:textId="77777777" w:rsidTr="007A3089">
        <w:trPr>
          <w:trHeight w:val="300"/>
        </w:trPr>
        <w:tc>
          <w:tcPr>
            <w:tcW w:w="4185" w:type="dxa"/>
            <w:hideMark/>
          </w:tcPr>
          <w:p w14:paraId="00CF3C6D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Involvement in care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94DC9F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Greater involvement in decisions about care and treatment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more involved in discussions around medication, challenging cultural insensitivity around diagnosis.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7B5E3C7" w14:textId="77777777" w:rsidTr="007A3089">
        <w:trPr>
          <w:trHeight w:val="300"/>
        </w:trPr>
        <w:tc>
          <w:tcPr>
            <w:tcW w:w="4185" w:type="dxa"/>
            <w:hideMark/>
          </w:tcPr>
          <w:p w14:paraId="51B7B379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Involvement of support network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F6D1B1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Greater involvement of an individual's support network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family, friends, peers, community/faith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192E8263" w14:textId="77777777" w:rsidTr="007A3089">
        <w:trPr>
          <w:trHeight w:val="300"/>
        </w:trPr>
        <w:tc>
          <w:tcPr>
            <w:tcW w:w="4185" w:type="dxa"/>
            <w:hideMark/>
          </w:tcPr>
          <w:p w14:paraId="47F024A1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Management matters improved experience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2BA1E6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supporting a client to have a voice, be empowered, relating to management issues (behaviour of administrative staff, MH nurses, technical and facilities staff) including institutional (problems hospital services supporting patients, poor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accomm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, hygiene or food, inadequate staffing) and timing (delays, problems in referrals), making sure client receives trauma informed care.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B92AD9B" w14:textId="77777777" w:rsidTr="007A3089">
        <w:trPr>
          <w:trHeight w:val="300"/>
        </w:trPr>
        <w:tc>
          <w:tcPr>
            <w:tcW w:w="4185" w:type="dxa"/>
            <w:hideMark/>
          </w:tcPr>
          <w:p w14:paraId="284CBF52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Negative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3547ED6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 to no tangible outcome or a negative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as a result of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5CC60A3" w14:textId="77777777" w:rsidTr="007A3089">
        <w:trPr>
          <w:trHeight w:val="300"/>
        </w:trPr>
        <w:tc>
          <w:tcPr>
            <w:tcW w:w="4185" w:type="dxa"/>
            <w:hideMark/>
          </w:tcPr>
          <w:p w14:paraId="451B19A8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Problems measuring outcomes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3BB40FB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Issues with how outcomes for advocacy services are measured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72D7EFA" w14:textId="77777777" w:rsidTr="007A3089">
        <w:trPr>
          <w:trHeight w:val="300"/>
        </w:trPr>
        <w:tc>
          <w:tcPr>
            <w:tcW w:w="4185" w:type="dxa"/>
            <w:hideMark/>
          </w:tcPr>
          <w:p w14:paraId="0CA40FAE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Support with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CFA3E1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Good or poor support with discharge from hospital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liaising with benefits/housing organisations and/or referrals to community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AE4DA27" w14:textId="77777777" w:rsidTr="007A3089">
        <w:trPr>
          <w:trHeight w:val="300"/>
        </w:trPr>
        <w:tc>
          <w:tcPr>
            <w:tcW w:w="4185" w:type="dxa"/>
            <w:hideMark/>
          </w:tcPr>
          <w:p w14:paraId="276D2F9D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Upholding rights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2C8580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Improvement in rights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as a result of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the advocate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taking action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in relation to right-based issues (breaching confidentiality, sexual, physical or emotional abuse, discrimination against patients).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6E3F32D" w14:textId="77777777" w:rsidTr="007A3089">
        <w:trPr>
          <w:trHeight w:val="300"/>
        </w:trPr>
        <w:tc>
          <w:tcPr>
            <w:tcW w:w="4185" w:type="dxa"/>
            <w:hideMark/>
          </w:tcPr>
          <w:p w14:paraId="3892086C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Political context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559F39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 xml:space="preserve">Political factors that influenced their admission into the mental health 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system 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.immigration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issues, housing, cost of living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54003EA0" w14:textId="77777777" w:rsidTr="007A3089">
        <w:trPr>
          <w:trHeight w:val="300"/>
        </w:trPr>
        <w:tc>
          <w:tcPr>
            <w:tcW w:w="4185" w:type="dxa"/>
            <w:hideMark/>
          </w:tcPr>
          <w:p w14:paraId="21F4EC14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Systemic racism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C116FF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 to systemic racism at any point in the system i.e. disproportionate numbers of BME sectioned, racist policing etc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EEB9FB8" w14:textId="77777777" w:rsidTr="007A3089">
        <w:trPr>
          <w:trHeight w:val="300"/>
        </w:trPr>
        <w:tc>
          <w:tcPr>
            <w:tcW w:w="4185" w:type="dxa"/>
            <w:hideMark/>
          </w:tcPr>
          <w:p w14:paraId="286F644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Racial and cultural awareness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5467D88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Advocates understanding of cultural identity. This can relate to awareness of equality law,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racialised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stigma, religion, spirituality, help seeking differences, understanding societal inequalities and identity etc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685B3C2" w14:textId="77777777" w:rsidTr="007A3089">
        <w:trPr>
          <w:trHeight w:val="300"/>
        </w:trPr>
        <w:tc>
          <w:tcPr>
            <w:tcW w:w="4185" w:type="dxa"/>
            <w:hideMark/>
          </w:tcPr>
          <w:p w14:paraId="205B3169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Lacking or </w:t>
            </w: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under developed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65833B45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lacks or has a poor understanding of cultural identity/context of the individual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awareness of equality law,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racialised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stigma, religion, spirituality, help seeking differences, understanding societal inequalities and identity etc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1F080BD" w14:textId="77777777" w:rsidTr="007A3089">
        <w:trPr>
          <w:trHeight w:val="300"/>
        </w:trPr>
        <w:tc>
          <w:tcPr>
            <w:tcW w:w="4185" w:type="dxa"/>
            <w:hideMark/>
          </w:tcPr>
          <w:p w14:paraId="024E16B0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Well</w:t>
            </w:r>
            <w:proofErr w:type="gram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developed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8C8FF22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Advocate has a demonstrable understanding of cultural identity/context of the individual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 xml:space="preserve"> awareness of equality </w:t>
            </w: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lastRenderedPageBreak/>
              <w:t>law,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racialised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stigma, religion, spirituality, help seeking differences, understanding societal inequalities and identity etc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64187162" w14:textId="77777777" w:rsidTr="007A3089">
        <w:trPr>
          <w:trHeight w:val="300"/>
        </w:trPr>
        <w:tc>
          <w:tcPr>
            <w:tcW w:w="4185" w:type="dxa"/>
            <w:hideMark/>
          </w:tcPr>
          <w:p w14:paraId="2287A4C6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lastRenderedPageBreak/>
              <w:t>Rights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8C90D85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Promotion and/or protection of rights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46A43A6" w14:textId="77777777" w:rsidTr="007A3089">
        <w:trPr>
          <w:trHeight w:val="300"/>
        </w:trPr>
        <w:tc>
          <w:tcPr>
            <w:tcW w:w="4185" w:type="dxa"/>
            <w:hideMark/>
          </w:tcPr>
          <w:p w14:paraId="18C29877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Information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C5FDB3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493463E" w14:textId="77777777" w:rsidTr="007A3089">
        <w:trPr>
          <w:trHeight w:val="300"/>
        </w:trPr>
        <w:tc>
          <w:tcPr>
            <w:tcW w:w="4185" w:type="dxa"/>
            <w:hideMark/>
          </w:tcPr>
          <w:p w14:paraId="7BB1E947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Legal processes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34F4EE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Reference to other legislation or legal processes, which do not involve an advocate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324F0054" w14:textId="77777777" w:rsidTr="007A3089">
        <w:trPr>
          <w:trHeight w:val="300"/>
        </w:trPr>
        <w:tc>
          <w:tcPr>
            <w:tcW w:w="4185" w:type="dxa"/>
            <w:hideMark/>
          </w:tcPr>
          <w:p w14:paraId="60FA8D44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 user understanding of their mental distress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70A5441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Service description and/or attribution of their mental distress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5DDFB78" w14:textId="77777777" w:rsidTr="007A3089">
        <w:trPr>
          <w:trHeight w:val="300"/>
        </w:trPr>
        <w:tc>
          <w:tcPr>
            <w:tcW w:w="4185" w:type="dxa"/>
            <w:hideMark/>
          </w:tcPr>
          <w:p w14:paraId="1BCC71A2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Cultural understanding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D300289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Cultural understanding of distress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e.g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possession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3C73EAA" w14:textId="77777777" w:rsidTr="007A3089">
        <w:trPr>
          <w:trHeight w:val="300"/>
        </w:trPr>
        <w:tc>
          <w:tcPr>
            <w:tcW w:w="4185" w:type="dxa"/>
            <w:hideMark/>
          </w:tcPr>
          <w:p w14:paraId="3004D8D3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Medical understanding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4FEF344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Distress framed in medical terms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1B387838" w14:textId="77777777" w:rsidTr="007A3089">
        <w:trPr>
          <w:trHeight w:val="300"/>
        </w:trPr>
        <w:tc>
          <w:tcPr>
            <w:tcW w:w="4185" w:type="dxa"/>
            <w:hideMark/>
          </w:tcPr>
          <w:p w14:paraId="0DBBB3C3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Societal barriers or facilitators to engagement in advocacy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4EBF58F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Social/societal level barriers and facilitators to engagement in advocacy (e.g. countering stigma)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7554C7E5" w14:textId="77777777" w:rsidTr="007A3089">
        <w:trPr>
          <w:trHeight w:val="300"/>
        </w:trPr>
        <w:tc>
          <w:tcPr>
            <w:tcW w:w="4185" w:type="dxa"/>
            <w:hideMark/>
          </w:tcPr>
          <w:p w14:paraId="6068CD31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Barriers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F94AA44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Social/societal level barriers to engagement in advocacy (e.g. stigma)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2EB765BF" w14:textId="77777777" w:rsidTr="007A3089">
        <w:trPr>
          <w:trHeight w:val="300"/>
        </w:trPr>
        <w:tc>
          <w:tcPr>
            <w:tcW w:w="4185" w:type="dxa"/>
            <w:hideMark/>
          </w:tcPr>
          <w:p w14:paraId="50858A2F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Facilitators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2E131FCA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Social/societal level facilitators to engagement in advocacy (e.g. countering stigma)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07C683E" w14:textId="77777777" w:rsidTr="007A3089">
        <w:trPr>
          <w:trHeight w:val="300"/>
        </w:trPr>
        <w:tc>
          <w:tcPr>
            <w:tcW w:w="4185" w:type="dxa"/>
            <w:hideMark/>
          </w:tcPr>
          <w:p w14:paraId="4CC7104D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Support with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0BC9317E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Support with discharge from hospital e.g. liaising with benefits/housing organisations and/or referrals to community organisations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47F63725" w14:textId="77777777" w:rsidTr="007A3089">
        <w:trPr>
          <w:trHeight w:val="300"/>
        </w:trPr>
        <w:tc>
          <w:tcPr>
            <w:tcW w:w="4185" w:type="dxa"/>
            <w:hideMark/>
          </w:tcPr>
          <w:p w14:paraId="7FB7F892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Good level of support with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4FC80860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Positive support with discharge </w:t>
            </w:r>
            <w:proofErr w:type="spellStart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eg.</w:t>
            </w:r>
            <w:proofErr w:type="spellEnd"/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 ensuring continuity of care 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89C" w:rsidRPr="00D71325" w14:paraId="0CD4FD0F" w14:textId="77777777" w:rsidTr="007A3089">
        <w:trPr>
          <w:trHeight w:val="300"/>
        </w:trPr>
        <w:tc>
          <w:tcPr>
            <w:tcW w:w="4185" w:type="dxa"/>
            <w:hideMark/>
          </w:tcPr>
          <w:p w14:paraId="4BAE7256" w14:textId="77777777" w:rsidR="00A3389C" w:rsidRPr="00D71325" w:rsidRDefault="00A3389C" w:rsidP="007A3089">
            <w:pPr>
              <w:ind w:left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Lack of support with discharge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750" w:type="dxa"/>
            <w:hideMark/>
          </w:tcPr>
          <w:p w14:paraId="7E653CA8" w14:textId="77777777" w:rsidR="00A3389C" w:rsidRPr="00D71325" w:rsidRDefault="00A3389C" w:rsidP="007A308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71325">
              <w:rPr>
                <w:rFonts w:ascii="Calibri" w:hAnsi="Calibri" w:cs="Calibri"/>
                <w:sz w:val="22"/>
                <w:szCs w:val="22"/>
                <w:lang w:val="en-AU"/>
              </w:rPr>
              <w:t>Issues with housing, work, benefits, outside support etc evident but advocate does not facilitate access</w:t>
            </w:r>
            <w:r w:rsidRPr="00D713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1FCDE05" w14:textId="77777777" w:rsidR="00A3389C" w:rsidRDefault="00A3389C" w:rsidP="00A3389C">
      <w:pPr>
        <w:pStyle w:val="Heading2"/>
      </w:pPr>
    </w:p>
    <w:p w14:paraId="3CDE6126" w14:textId="77777777" w:rsidR="00A3389C" w:rsidRDefault="00A3389C" w:rsidP="00A3389C">
      <w:pPr>
        <w:pStyle w:val="Heading2"/>
      </w:pPr>
    </w:p>
    <w:p w14:paraId="3A41C7E5" w14:textId="77777777" w:rsidR="00A3389C" w:rsidRDefault="00A3389C" w:rsidP="00A3389C">
      <w:pPr>
        <w:pStyle w:val="Heading2"/>
      </w:pPr>
    </w:p>
    <w:p w14:paraId="089E74E9" w14:textId="77777777" w:rsidR="00A3389C" w:rsidRDefault="00A3389C" w:rsidP="00A3389C">
      <w:pPr>
        <w:pStyle w:val="Heading2"/>
      </w:pPr>
    </w:p>
    <w:p w14:paraId="53A4D103" w14:textId="77777777" w:rsidR="003F7813" w:rsidRDefault="003F7813"/>
    <w:sectPr w:rsidR="003F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9C"/>
    <w:rsid w:val="000139FF"/>
    <w:rsid w:val="000F78AF"/>
    <w:rsid w:val="002561E3"/>
    <w:rsid w:val="002A41A1"/>
    <w:rsid w:val="002C76E1"/>
    <w:rsid w:val="00324FD4"/>
    <w:rsid w:val="003F7813"/>
    <w:rsid w:val="00A3389C"/>
    <w:rsid w:val="00D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C74BC"/>
  <w15:chartTrackingRefBased/>
  <w15:docId w15:val="{F62339C2-376F-BD47-9555-EF4CB2E5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8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8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8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8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8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8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8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33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8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89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89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8947</Characters>
  <Application>Microsoft Office Word</Application>
  <DocSecurity>0</DocSecurity>
  <Lines>271</Lines>
  <Paragraphs>163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1</cp:revision>
  <dcterms:created xsi:type="dcterms:W3CDTF">2026-03-19T16:03:00Z</dcterms:created>
  <dcterms:modified xsi:type="dcterms:W3CDTF">2026-03-19T16:04:00Z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2026-03-19T16:04:11Z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33e2cbec-16bb-4dd5-89ae-1faa4cd18b47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