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F5DB" w14:textId="77777777" w:rsidR="000A62F0" w:rsidRPr="000A62F0" w:rsidRDefault="000A62F0" w:rsidP="000A62F0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Additional file 5: Rapid appraisal </w:t>
      </w:r>
      <w:proofErr w:type="gramStart"/>
      <w:r w:rsidRPr="000A6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final results</w:t>
      </w:r>
      <w:proofErr w:type="gramEnd"/>
    </w:p>
    <w:p w14:paraId="4DF27ACB" w14:textId="77777777" w:rsidR="000A62F0" w:rsidRDefault="000A62F0" w:rsidP="000A62F0"/>
    <w:tbl>
      <w:tblPr>
        <w:tblW w:w="90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915"/>
        <w:gridCol w:w="1354"/>
        <w:gridCol w:w="1191"/>
        <w:gridCol w:w="1250"/>
        <w:gridCol w:w="1494"/>
        <w:gridCol w:w="1494"/>
      </w:tblGrid>
      <w:tr w:rsidR="000A62F0" w14:paraId="04784FC3" w14:textId="77777777" w:rsidTr="007A3089">
        <w:trPr>
          <w:trHeight w:val="530"/>
        </w:trPr>
        <w:tc>
          <w:tcPr>
            <w:tcW w:w="1317" w:type="dxa"/>
          </w:tcPr>
          <w:p w14:paraId="6A5DAC57" w14:textId="77777777" w:rsidR="000A62F0" w:rsidRDefault="000A62F0" w:rsidP="007A308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  <w:t>Publication details</w:t>
            </w:r>
          </w:p>
        </w:tc>
        <w:tc>
          <w:tcPr>
            <w:tcW w:w="915" w:type="dxa"/>
          </w:tcPr>
          <w:p w14:paraId="26A96358" w14:textId="77777777" w:rsidR="000A62F0" w:rsidRDefault="000A62F0" w:rsidP="007A308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Country </w:t>
            </w:r>
          </w:p>
        </w:tc>
        <w:tc>
          <w:tcPr>
            <w:tcW w:w="1354" w:type="dxa"/>
          </w:tcPr>
          <w:p w14:paraId="4B54E35C" w14:textId="77777777" w:rsidR="000A62F0" w:rsidRDefault="000A62F0" w:rsidP="007A308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  <w:t>Type of advocacy</w:t>
            </w:r>
          </w:p>
        </w:tc>
        <w:tc>
          <w:tcPr>
            <w:tcW w:w="1191" w:type="dxa"/>
          </w:tcPr>
          <w:p w14:paraId="12A329B3" w14:textId="77777777" w:rsidR="000A62F0" w:rsidRDefault="000A62F0" w:rsidP="007A308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  <w:t>Participants</w:t>
            </w:r>
          </w:p>
        </w:tc>
        <w:tc>
          <w:tcPr>
            <w:tcW w:w="1250" w:type="dxa"/>
          </w:tcPr>
          <w:p w14:paraId="18837360" w14:textId="77777777" w:rsidR="000A62F0" w:rsidRDefault="000A62F0" w:rsidP="007A308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Setting </w:t>
            </w:r>
          </w:p>
          <w:p w14:paraId="05EDD7F6" w14:textId="77777777" w:rsidR="000A62F0" w:rsidRDefault="000A62F0" w:rsidP="007A308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  <w:t>(inpatient, outpatients, community)</w:t>
            </w:r>
          </w:p>
        </w:tc>
        <w:tc>
          <w:tcPr>
            <w:tcW w:w="1494" w:type="dxa"/>
          </w:tcPr>
          <w:p w14:paraId="1082A0AF" w14:textId="77777777" w:rsidR="000A62F0" w:rsidRDefault="000A62F0" w:rsidP="007A308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  <w:t>Study design</w:t>
            </w:r>
          </w:p>
        </w:tc>
        <w:tc>
          <w:tcPr>
            <w:tcW w:w="1494" w:type="dxa"/>
          </w:tcPr>
          <w:p w14:paraId="7E5B0268" w14:textId="77777777" w:rsidR="000A62F0" w:rsidRDefault="000A62F0" w:rsidP="007A308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2CDD05A0"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  <w:t>Results</w:t>
            </w:r>
          </w:p>
        </w:tc>
      </w:tr>
      <w:tr w:rsidR="000A62F0" w14:paraId="5157D7E2" w14:textId="77777777" w:rsidTr="007A3089">
        <w:trPr>
          <w:trHeight w:val="810"/>
        </w:trPr>
        <w:tc>
          <w:tcPr>
            <w:tcW w:w="1317" w:type="dxa"/>
          </w:tcPr>
          <w:p w14:paraId="1698A89C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Newbigging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 xml:space="preserve"> K et al, 2015. 'When you haven't got much of a voice': an evaluation of the quality of Independent Mental Health Advocate (IMHA) services in England. Health Soc Care Community. (3):313-24.</w:t>
            </w:r>
          </w:p>
        </w:tc>
        <w:tc>
          <w:tcPr>
            <w:tcW w:w="915" w:type="dxa"/>
          </w:tcPr>
          <w:p w14:paraId="7989280F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UK - England </w:t>
            </w:r>
          </w:p>
        </w:tc>
        <w:tc>
          <w:tcPr>
            <w:tcW w:w="1354" w:type="dxa"/>
          </w:tcPr>
          <w:p w14:paraId="1DD2BAEB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Mental health advocacy </w:t>
            </w:r>
          </w:p>
        </w:tc>
        <w:tc>
          <w:tcPr>
            <w:tcW w:w="1191" w:type="dxa"/>
          </w:tcPr>
          <w:p w14:paraId="38597967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75 focus group participants, 214 interviewed</w:t>
            </w:r>
          </w:p>
        </w:tc>
        <w:tc>
          <w:tcPr>
            <w:tcW w:w="1250" w:type="dxa"/>
          </w:tcPr>
          <w:p w14:paraId="5B932874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Mainly inpatient </w:t>
            </w:r>
          </w:p>
        </w:tc>
        <w:tc>
          <w:tcPr>
            <w:tcW w:w="1494" w:type="dxa"/>
          </w:tcPr>
          <w:p w14:paraId="3783C148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Multi-method approach</w:t>
            </w:r>
          </w:p>
        </w:tc>
        <w:tc>
          <w:tcPr>
            <w:tcW w:w="1494" w:type="dxa"/>
          </w:tcPr>
          <w:p w14:paraId="549ACA83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Organisational characteristics to deliver best practice: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Access to advocacy for those most in need and on CTO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; outcome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monitoring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; focus on empowerment, right and safeguarding; improving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wellbeing; recovery;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increased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confidence and sense of agency.  </w:t>
            </w:r>
          </w:p>
        </w:tc>
      </w:tr>
      <w:tr w:rsidR="000A62F0" w14:paraId="7B856990" w14:textId="77777777" w:rsidTr="007A3089">
        <w:trPr>
          <w:trHeight w:val="750"/>
        </w:trPr>
        <w:tc>
          <w:tcPr>
            <w:tcW w:w="1317" w:type="dxa"/>
          </w:tcPr>
          <w:p w14:paraId="3201E034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r w:rsidRPr="2CDD05A0">
              <w:rPr>
                <w:color w:val="000000" w:themeColor="text1"/>
                <w:sz w:val="20"/>
                <w:szCs w:val="20"/>
              </w:rPr>
              <w:t>Morrison, P. 2018. Understanding advocacy practice in mental health: a multidimensional scalogram analysis of case records, Journal of Mental Health, 27:2, 127-134</w:t>
            </w:r>
          </w:p>
        </w:tc>
        <w:tc>
          <w:tcPr>
            <w:tcW w:w="915" w:type="dxa"/>
          </w:tcPr>
          <w:p w14:paraId="0D030256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Australia</w:t>
            </w:r>
          </w:p>
        </w:tc>
        <w:tc>
          <w:tcPr>
            <w:tcW w:w="1354" w:type="dxa"/>
          </w:tcPr>
          <w:p w14:paraId="477D4FBE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Mental health advocacy </w:t>
            </w:r>
          </w:p>
        </w:tc>
        <w:tc>
          <w:tcPr>
            <w:tcW w:w="1191" w:type="dxa"/>
          </w:tcPr>
          <w:p w14:paraId="2D691633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60 case records </w:t>
            </w:r>
          </w:p>
        </w:tc>
        <w:tc>
          <w:tcPr>
            <w:tcW w:w="1250" w:type="dxa"/>
          </w:tcPr>
          <w:p w14:paraId="338564C4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Inpatient and community</w:t>
            </w:r>
          </w:p>
        </w:tc>
        <w:tc>
          <w:tcPr>
            <w:tcW w:w="1494" w:type="dxa"/>
          </w:tcPr>
          <w:p w14:paraId="1F777C8F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Case analysis </w:t>
            </w:r>
          </w:p>
        </w:tc>
        <w:tc>
          <w:tcPr>
            <w:tcW w:w="1494" w:type="dxa"/>
          </w:tcPr>
          <w:p w14:paraId="45F24D1F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Advocacy to offer 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effective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communication</w:t>
            </w:r>
            <w:proofErr w:type="gramEnd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with professionals,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regarding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medication, medical records, </w:t>
            </w:r>
            <w:proofErr w:type="gramStart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basic necessities</w:t>
            </w:r>
            <w:proofErr w:type="gramEnd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and change of care. </w:t>
            </w:r>
          </w:p>
        </w:tc>
      </w:tr>
      <w:tr w:rsidR="000A62F0" w14:paraId="2AF51800" w14:textId="77777777" w:rsidTr="007A3089">
        <w:trPr>
          <w:trHeight w:val="540"/>
        </w:trPr>
        <w:tc>
          <w:tcPr>
            <w:tcW w:w="1317" w:type="dxa"/>
          </w:tcPr>
          <w:p w14:paraId="482FA835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r w:rsidRPr="2CDD05A0">
              <w:rPr>
                <w:color w:val="000000" w:themeColor="text1"/>
                <w:sz w:val="20"/>
                <w:szCs w:val="20"/>
              </w:rPr>
              <w:t xml:space="preserve">Eades, S. 2018. Impact evaluation of an Independent Mental Health Advocacy (IMHA) service in a high secure hospital: a co-produced survey measuring self-reported </w:t>
            </w:r>
            <w:r w:rsidRPr="2CDD05A0">
              <w:rPr>
                <w:color w:val="000000" w:themeColor="text1"/>
                <w:sz w:val="20"/>
                <w:szCs w:val="20"/>
              </w:rPr>
              <w:lastRenderedPageBreak/>
              <w:t>changes to patient self-determination. Journal Mental Health and Social Inclusion. 22(1) pp. 53-60</w:t>
            </w:r>
          </w:p>
        </w:tc>
        <w:tc>
          <w:tcPr>
            <w:tcW w:w="915" w:type="dxa"/>
          </w:tcPr>
          <w:p w14:paraId="6754CC7F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lastRenderedPageBreak/>
              <w:t>UK - England</w:t>
            </w:r>
          </w:p>
        </w:tc>
        <w:tc>
          <w:tcPr>
            <w:tcW w:w="1354" w:type="dxa"/>
          </w:tcPr>
          <w:p w14:paraId="3B361CC6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IMHA</w:t>
            </w:r>
          </w:p>
        </w:tc>
        <w:tc>
          <w:tcPr>
            <w:tcW w:w="1191" w:type="dxa"/>
          </w:tcPr>
          <w:p w14:paraId="25FA9C57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115 surveyed</w:t>
            </w:r>
          </w:p>
        </w:tc>
        <w:tc>
          <w:tcPr>
            <w:tcW w:w="1250" w:type="dxa"/>
          </w:tcPr>
          <w:p w14:paraId="1A4C893A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Inpatient</w:t>
            </w:r>
          </w:p>
        </w:tc>
        <w:tc>
          <w:tcPr>
            <w:tcW w:w="1494" w:type="dxa"/>
          </w:tcPr>
          <w:p w14:paraId="053944D3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Questionnaire design</w:t>
            </w:r>
          </w:p>
        </w:tc>
        <w:tc>
          <w:tcPr>
            <w:tcW w:w="1494" w:type="dxa"/>
          </w:tcPr>
          <w:p w14:paraId="01120276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Advocacy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to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increase self-determination (autonomy, competence and relatedness), give people a voice, and increase rights awareness. </w:t>
            </w:r>
          </w:p>
        </w:tc>
      </w:tr>
      <w:tr w:rsidR="000A62F0" w14:paraId="09489386" w14:textId="77777777" w:rsidTr="007A3089">
        <w:trPr>
          <w:trHeight w:val="830"/>
        </w:trPr>
        <w:tc>
          <w:tcPr>
            <w:tcW w:w="1317" w:type="dxa"/>
          </w:tcPr>
          <w:p w14:paraId="17A67525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r w:rsidRPr="2CDD05A0">
              <w:rPr>
                <w:color w:val="000000" w:themeColor="text1"/>
                <w:sz w:val="20"/>
                <w:szCs w:val="20"/>
              </w:rPr>
              <w:t>Gee, A. et al. 2015. What Drives Systemic Mental Health Advocates? Goals, Strategies, and Values of Australian Consumer and Carer Advocacy Organizations. Sage Open, 5(4). https://doi.org/10.1177/2158244015615384</w:t>
            </w:r>
          </w:p>
        </w:tc>
        <w:tc>
          <w:tcPr>
            <w:tcW w:w="915" w:type="dxa"/>
          </w:tcPr>
          <w:p w14:paraId="67E8D3CF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Australia </w:t>
            </w:r>
          </w:p>
        </w:tc>
        <w:tc>
          <w:tcPr>
            <w:tcW w:w="1354" w:type="dxa"/>
          </w:tcPr>
          <w:p w14:paraId="6A1299B4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Mental health advocacy </w:t>
            </w:r>
          </w:p>
        </w:tc>
        <w:tc>
          <w:tcPr>
            <w:tcW w:w="1191" w:type="dxa"/>
          </w:tcPr>
          <w:p w14:paraId="669F8D51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17 organisational documents and 9 participants</w:t>
            </w:r>
          </w:p>
        </w:tc>
        <w:tc>
          <w:tcPr>
            <w:tcW w:w="1250" w:type="dxa"/>
          </w:tcPr>
          <w:p w14:paraId="11FD5118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Community </w:t>
            </w:r>
          </w:p>
        </w:tc>
        <w:tc>
          <w:tcPr>
            <w:tcW w:w="1494" w:type="dxa"/>
            <w:noWrap/>
          </w:tcPr>
          <w:p w14:paraId="3E1CB214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Multimethod qualitative: analysis of communication documents + interviews</w:t>
            </w:r>
          </w:p>
        </w:tc>
        <w:tc>
          <w:tcPr>
            <w:tcW w:w="1494" w:type="dxa"/>
          </w:tcPr>
          <w:p w14:paraId="6DE8711F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Advocacy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to offer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consumer and carer participation, offer voice and recognition, influence and improve mental health services. Good advocacy is collaborative and rights focused. Need for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systemic advocacy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to promote rights.  </w:t>
            </w:r>
          </w:p>
        </w:tc>
      </w:tr>
      <w:tr w:rsidR="000A62F0" w14:paraId="463D727F" w14:textId="77777777" w:rsidTr="007A3089">
        <w:trPr>
          <w:trHeight w:val="690"/>
        </w:trPr>
        <w:tc>
          <w:tcPr>
            <w:tcW w:w="1317" w:type="dxa"/>
          </w:tcPr>
          <w:p w14:paraId="40502677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r w:rsidRPr="00637DDF">
              <w:rPr>
                <w:color w:val="000000" w:themeColor="text1"/>
                <w:sz w:val="20"/>
                <w:szCs w:val="20"/>
                <w:lang w:val="fr-FR"/>
              </w:rPr>
              <w:t xml:space="preserve">Davis, T.S., et al. 2011. </w:t>
            </w:r>
            <w:r w:rsidRPr="2CDD05A0">
              <w:rPr>
                <w:color w:val="000000" w:themeColor="text1"/>
                <w:sz w:val="20"/>
                <w:szCs w:val="20"/>
              </w:rPr>
              <w:t xml:space="preserve">Measuring Individualized Parent Advocate Services in Children’s Mental </w:t>
            </w:r>
            <w:proofErr w:type="gramStart"/>
            <w:r w:rsidRPr="2CDD05A0">
              <w:rPr>
                <w:color w:val="000000" w:themeColor="text1"/>
                <w:sz w:val="20"/>
                <w:szCs w:val="20"/>
              </w:rPr>
              <w:t>Health:</w:t>
            </w:r>
            <w:proofErr w:type="gramEnd"/>
            <w:r w:rsidRPr="2CDD05A0">
              <w:rPr>
                <w:color w:val="000000" w:themeColor="text1"/>
                <w:sz w:val="20"/>
                <w:szCs w:val="20"/>
              </w:rPr>
              <w:t xml:space="preserve"> A Contextualized Theoretical Application. J Child Fam Stud 20, 669–684. https://doi.org/10.1007/s10826-010-9443-y</w:t>
            </w:r>
          </w:p>
        </w:tc>
        <w:tc>
          <w:tcPr>
            <w:tcW w:w="915" w:type="dxa"/>
          </w:tcPr>
          <w:p w14:paraId="5DE07234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US </w:t>
            </w:r>
          </w:p>
        </w:tc>
        <w:tc>
          <w:tcPr>
            <w:tcW w:w="1354" w:type="dxa"/>
          </w:tcPr>
          <w:p w14:paraId="068A1FF8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Parent advocacy </w:t>
            </w:r>
          </w:p>
        </w:tc>
        <w:tc>
          <w:tcPr>
            <w:tcW w:w="1191" w:type="dxa"/>
          </w:tcPr>
          <w:p w14:paraId="7BF90FDB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5 focus groups, 11 interviews </w:t>
            </w:r>
          </w:p>
        </w:tc>
        <w:tc>
          <w:tcPr>
            <w:tcW w:w="1250" w:type="dxa"/>
          </w:tcPr>
          <w:p w14:paraId="1CE24F8E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Community and inpatient </w:t>
            </w:r>
          </w:p>
        </w:tc>
        <w:tc>
          <w:tcPr>
            <w:tcW w:w="1494" w:type="dxa"/>
          </w:tcPr>
          <w:p w14:paraId="3112ABF7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Multimethod qualitative: interviews + focus groups </w:t>
            </w:r>
          </w:p>
        </w:tc>
        <w:tc>
          <w:tcPr>
            <w:tcW w:w="1494" w:type="dxa"/>
          </w:tcPr>
          <w:p w14:paraId="345BF11B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Importance of advocacy workforce development. Mechanism for raising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awareness about advocacy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.</w:t>
            </w:r>
          </w:p>
        </w:tc>
      </w:tr>
      <w:tr w:rsidR="000A62F0" w14:paraId="3BB4736E" w14:textId="77777777" w:rsidTr="007A3089">
        <w:trPr>
          <w:trHeight w:val="840"/>
        </w:trPr>
        <w:tc>
          <w:tcPr>
            <w:tcW w:w="1317" w:type="dxa"/>
          </w:tcPr>
          <w:p w14:paraId="3E5E5C3C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r w:rsidRPr="2CDD05A0">
              <w:rPr>
                <w:color w:val="000000" w:themeColor="text1"/>
                <w:sz w:val="20"/>
                <w:szCs w:val="20"/>
              </w:rPr>
              <w:t xml:space="preserve">Wisdom JP, et al. 2011. Family Peer Advocates: A Pilot Study of the Content and Process of </w:t>
            </w:r>
            <w:r w:rsidRPr="2CDD05A0">
              <w:rPr>
                <w:color w:val="000000" w:themeColor="text1"/>
                <w:sz w:val="20"/>
                <w:szCs w:val="20"/>
              </w:rPr>
              <w:lastRenderedPageBreak/>
              <w:t xml:space="preserve">Service Provision. J Child Fam Stud. 20(6):833-843.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doi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 xml:space="preserve">: 10.1007/s10826-011-9451-6. </w:t>
            </w:r>
          </w:p>
        </w:tc>
        <w:tc>
          <w:tcPr>
            <w:tcW w:w="915" w:type="dxa"/>
          </w:tcPr>
          <w:p w14:paraId="45054B6E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lastRenderedPageBreak/>
              <w:t>US</w:t>
            </w:r>
          </w:p>
        </w:tc>
        <w:tc>
          <w:tcPr>
            <w:tcW w:w="1354" w:type="dxa"/>
          </w:tcPr>
          <w:p w14:paraId="772B886F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Mental health advocacy </w:t>
            </w:r>
          </w:p>
        </w:tc>
        <w:tc>
          <w:tcPr>
            <w:tcW w:w="1191" w:type="dxa"/>
          </w:tcPr>
          <w:p w14:paraId="5C1E037B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5 family peer advocates</w:t>
            </w:r>
            <w:r>
              <w:br/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provided an average of 25 services during each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lastRenderedPageBreak/>
              <w:t>2-session simulation</w:t>
            </w:r>
          </w:p>
        </w:tc>
        <w:tc>
          <w:tcPr>
            <w:tcW w:w="1250" w:type="dxa"/>
          </w:tcPr>
          <w:p w14:paraId="06787AF3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lastRenderedPageBreak/>
              <w:t> </w:t>
            </w:r>
          </w:p>
        </w:tc>
        <w:tc>
          <w:tcPr>
            <w:tcW w:w="1494" w:type="dxa"/>
          </w:tcPr>
          <w:p w14:paraId="57117A04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Walk-through" methodology, where a trained standardised parent simulates seeking services </w:t>
            </w:r>
          </w:p>
        </w:tc>
        <w:tc>
          <w:tcPr>
            <w:tcW w:w="1494" w:type="dxa"/>
          </w:tcPr>
          <w:p w14:paraId="5482DF11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Peer advocacy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to provide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emotional support, community networking, rights and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lastRenderedPageBreak/>
              <w:t xml:space="preserve">social connections. </w:t>
            </w:r>
          </w:p>
        </w:tc>
      </w:tr>
      <w:tr w:rsidR="000A62F0" w14:paraId="7289963E" w14:textId="77777777" w:rsidTr="007A3089">
        <w:trPr>
          <w:trHeight w:val="890"/>
        </w:trPr>
        <w:tc>
          <w:tcPr>
            <w:tcW w:w="1317" w:type="dxa"/>
          </w:tcPr>
          <w:p w14:paraId="14BD1E27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lastRenderedPageBreak/>
              <w:t>Beaupert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>, F. 2009. Mental Health Tribunal Processes and Advocacy Arrangements: “Little Wins” are No Small Feat</w:t>
            </w:r>
            <w:proofErr w:type="gramStart"/>
            <w:r w:rsidRPr="2CDD05A0">
              <w:rPr>
                <w:color w:val="000000" w:themeColor="text1"/>
                <w:sz w:val="20"/>
                <w:szCs w:val="20"/>
              </w:rPr>
              <w:t>* .</w:t>
            </w:r>
            <w:proofErr w:type="gramEnd"/>
            <w:r w:rsidRPr="2CDD05A0">
              <w:rPr>
                <w:color w:val="000000" w:themeColor="text1"/>
                <w:sz w:val="20"/>
                <w:szCs w:val="20"/>
              </w:rPr>
              <w:t xml:space="preserve"> Psychiatry, Psychology and Law, 16(1), 90–107. https://doi.org/10.1080/13218710802169339</w:t>
            </w:r>
          </w:p>
        </w:tc>
        <w:tc>
          <w:tcPr>
            <w:tcW w:w="915" w:type="dxa"/>
          </w:tcPr>
          <w:p w14:paraId="363A73D1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Australia </w:t>
            </w:r>
          </w:p>
        </w:tc>
        <w:tc>
          <w:tcPr>
            <w:tcW w:w="1354" w:type="dxa"/>
          </w:tcPr>
          <w:p w14:paraId="7B79F4DC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Mental health advocacy (in a legal setting)</w:t>
            </w:r>
          </w:p>
        </w:tc>
        <w:tc>
          <w:tcPr>
            <w:tcW w:w="1191" w:type="dxa"/>
          </w:tcPr>
          <w:p w14:paraId="10B39742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4 participants +, field notes and informal discussions</w:t>
            </w:r>
          </w:p>
        </w:tc>
        <w:tc>
          <w:tcPr>
            <w:tcW w:w="1250" w:type="dxa"/>
          </w:tcPr>
          <w:p w14:paraId="54BE71DA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Mental health tribunals </w:t>
            </w:r>
          </w:p>
        </w:tc>
        <w:tc>
          <w:tcPr>
            <w:tcW w:w="1494" w:type="dxa"/>
          </w:tcPr>
          <w:p w14:paraId="29229ED9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Multimethod qualitative approach: Interviews and field notes</w:t>
            </w:r>
          </w:p>
        </w:tc>
        <w:tc>
          <w:tcPr>
            <w:tcW w:w="1494" w:type="dxa"/>
          </w:tcPr>
          <w:p w14:paraId="3034BED4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Advocacy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to be consistently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available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outcomes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 focused,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well resourced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, focused on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rights protection, safeguard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ing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, support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ing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wellbeing,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self advocacy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and obviat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ing a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necessity for lawyers. </w:t>
            </w:r>
          </w:p>
        </w:tc>
      </w:tr>
      <w:tr w:rsidR="000A62F0" w14:paraId="5B28FB3C" w14:textId="77777777" w:rsidTr="007A3089">
        <w:trPr>
          <w:trHeight w:val="790"/>
        </w:trPr>
        <w:tc>
          <w:tcPr>
            <w:tcW w:w="1317" w:type="dxa"/>
          </w:tcPr>
          <w:p w14:paraId="2355B073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r w:rsidRPr="2CDD05A0">
              <w:rPr>
                <w:color w:val="000000" w:themeColor="text1"/>
                <w:sz w:val="20"/>
                <w:szCs w:val="20"/>
              </w:rPr>
              <w:t xml:space="preserve">Hendler R, et al 2016. "We Are Not Really Marketing Mental Health": Mental Health Advocacy in Zimbabwe.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PLoS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 xml:space="preserve"> One. 8;11(9</w:t>
            </w:r>
            <w:proofErr w:type="gramStart"/>
            <w:r w:rsidRPr="2CDD05A0">
              <w:rPr>
                <w:color w:val="000000" w:themeColor="text1"/>
                <w:sz w:val="20"/>
                <w:szCs w:val="20"/>
              </w:rPr>
              <w:t>):e</w:t>
            </w:r>
            <w:proofErr w:type="gramEnd"/>
            <w:r w:rsidRPr="2CDD05A0">
              <w:rPr>
                <w:color w:val="000000" w:themeColor="text1"/>
                <w:sz w:val="20"/>
                <w:szCs w:val="20"/>
              </w:rPr>
              <w:t xml:space="preserve">0161860.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doi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 xml:space="preserve">: 10.1371/journal.pone.0161860. </w:t>
            </w:r>
          </w:p>
        </w:tc>
        <w:tc>
          <w:tcPr>
            <w:tcW w:w="915" w:type="dxa"/>
          </w:tcPr>
          <w:p w14:paraId="295F0338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Zimbabwe</w:t>
            </w:r>
          </w:p>
        </w:tc>
        <w:tc>
          <w:tcPr>
            <w:tcW w:w="1354" w:type="dxa"/>
          </w:tcPr>
          <w:p w14:paraId="3D0B5436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Mental health advocacy </w:t>
            </w:r>
          </w:p>
        </w:tc>
        <w:tc>
          <w:tcPr>
            <w:tcW w:w="1191" w:type="dxa"/>
          </w:tcPr>
          <w:p w14:paraId="76AA5F6D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30 participants</w:t>
            </w:r>
          </w:p>
        </w:tc>
        <w:tc>
          <w:tcPr>
            <w:tcW w:w="1250" w:type="dxa"/>
          </w:tcPr>
          <w:p w14:paraId="011BC134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Mostly community/ social justice </w:t>
            </w:r>
          </w:p>
        </w:tc>
        <w:tc>
          <w:tcPr>
            <w:tcW w:w="1494" w:type="dxa"/>
          </w:tcPr>
          <w:p w14:paraId="20CF8AE2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Semi-structured interviews </w:t>
            </w:r>
          </w:p>
        </w:tc>
        <w:tc>
          <w:tcPr>
            <w:tcW w:w="1494" w:type="dxa"/>
          </w:tcPr>
          <w:p w14:paraId="550FD346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Advocacy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providing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improve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d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treatment of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patient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s, empower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patient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s and navigate hierarchies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. Raise awareness of advocacy in community.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0A62F0" w14:paraId="252F6178" w14:textId="77777777" w:rsidTr="007A3089">
        <w:trPr>
          <w:trHeight w:val="960"/>
        </w:trPr>
        <w:tc>
          <w:tcPr>
            <w:tcW w:w="1317" w:type="dxa"/>
          </w:tcPr>
          <w:p w14:paraId="4E3B0403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r w:rsidRPr="2CDD05A0">
              <w:rPr>
                <w:color w:val="000000" w:themeColor="text1"/>
                <w:sz w:val="20"/>
                <w:szCs w:val="20"/>
              </w:rPr>
              <w:t>Ridley, J.et al. 2018. Mental health advocacy outcomes from service user perspectives. Mental Health Review Journal, 23(4), 280-</w:t>
            </w:r>
            <w:r w:rsidRPr="2CDD05A0">
              <w:rPr>
                <w:color w:val="000000" w:themeColor="text1"/>
                <w:sz w:val="20"/>
                <w:szCs w:val="20"/>
              </w:rPr>
              <w:lastRenderedPageBreak/>
              <w:t>292. https://doi.org/10.1108/mhrj-10-2017-0049</w:t>
            </w:r>
          </w:p>
        </w:tc>
        <w:tc>
          <w:tcPr>
            <w:tcW w:w="915" w:type="dxa"/>
          </w:tcPr>
          <w:p w14:paraId="4915D16A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lastRenderedPageBreak/>
              <w:t>UK</w:t>
            </w:r>
          </w:p>
        </w:tc>
        <w:tc>
          <w:tcPr>
            <w:tcW w:w="1354" w:type="dxa"/>
          </w:tcPr>
          <w:p w14:paraId="650F9FAE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Mental health advocacy </w:t>
            </w:r>
          </w:p>
        </w:tc>
        <w:tc>
          <w:tcPr>
            <w:tcW w:w="1191" w:type="dxa"/>
          </w:tcPr>
          <w:p w14:paraId="236DBDB0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30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patient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s; 90 “qualifying patients" </w:t>
            </w:r>
          </w:p>
        </w:tc>
        <w:tc>
          <w:tcPr>
            <w:tcW w:w="1250" w:type="dxa"/>
          </w:tcPr>
          <w:p w14:paraId="4412DCDB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Mostly inpatient</w:t>
            </w:r>
          </w:p>
        </w:tc>
        <w:tc>
          <w:tcPr>
            <w:tcW w:w="1494" w:type="dxa"/>
          </w:tcPr>
          <w:p w14:paraId="22AFA82F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Qualitative meta-synthesis: analysis of primary data from three research studies undertaken previously by the authors </w:t>
            </w:r>
          </w:p>
        </w:tc>
        <w:tc>
          <w:tcPr>
            <w:tcW w:w="1494" w:type="dxa"/>
          </w:tcPr>
          <w:p w14:paraId="47D3D8C2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Advocacy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focused on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positive development, changes in treatment, changes in relationships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with professionals, improved culturally sensitivity from MH services,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lastRenderedPageBreak/>
              <w:t xml:space="preserve">increased family involvement and participation. Benefits also included increase voice,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self advocacy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. Poor evidence of routine outcome monitoring. </w:t>
            </w:r>
          </w:p>
        </w:tc>
      </w:tr>
      <w:tr w:rsidR="000A62F0" w14:paraId="5EDC170C" w14:textId="77777777" w:rsidTr="007A3089">
        <w:trPr>
          <w:trHeight w:val="820"/>
        </w:trPr>
        <w:tc>
          <w:tcPr>
            <w:tcW w:w="1317" w:type="dxa"/>
          </w:tcPr>
          <w:p w14:paraId="25BB0E04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lastRenderedPageBreak/>
              <w:t>Newbigging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 xml:space="preserve"> K et al. 2013. Mental health advocacy and African and Caribbean men: good practice principles and organizational models for delivery. Health Expect.16(1):80-104.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doi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>: 10.1111/j.1369-7625.2011.</w:t>
            </w:r>
            <w:proofErr w:type="gramStart"/>
            <w:r w:rsidRPr="2CDD05A0">
              <w:rPr>
                <w:color w:val="000000" w:themeColor="text1"/>
                <w:sz w:val="20"/>
                <w:szCs w:val="20"/>
              </w:rPr>
              <w:t>00692.x.</w:t>
            </w:r>
            <w:proofErr w:type="gramEnd"/>
            <w:r w:rsidRPr="2CDD05A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</w:tcPr>
          <w:p w14:paraId="141565A1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UK</w:t>
            </w:r>
          </w:p>
        </w:tc>
        <w:tc>
          <w:tcPr>
            <w:tcW w:w="1354" w:type="dxa"/>
          </w:tcPr>
          <w:p w14:paraId="13E8917B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IMHA </w:t>
            </w:r>
          </w:p>
        </w:tc>
        <w:tc>
          <w:tcPr>
            <w:tcW w:w="1191" w:type="dxa"/>
          </w:tcPr>
          <w:p w14:paraId="5C21D3CE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25 African, African Caribbean and dual heritage mental health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patients</w:t>
            </w:r>
          </w:p>
        </w:tc>
        <w:tc>
          <w:tcPr>
            <w:tcW w:w="1250" w:type="dxa"/>
          </w:tcPr>
          <w:p w14:paraId="18C7618D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Inpatient and community </w:t>
            </w:r>
          </w:p>
        </w:tc>
        <w:tc>
          <w:tcPr>
            <w:tcW w:w="1494" w:type="dxa"/>
          </w:tcPr>
          <w:p w14:paraId="33F61E4A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Mixed method: focus groups, a national survey of advocacy practice and qualitative interviews.</w:t>
            </w:r>
          </w:p>
        </w:tc>
        <w:tc>
          <w:tcPr>
            <w:tcW w:w="1494" w:type="dxa"/>
          </w:tcPr>
          <w:p w14:paraId="03F4BBFA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>Advocacy g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ood practice included: addressing stigma and discrimination; safe relationships; responding to linguistic and cultural needs; gender and ethnicity choice; well trained; cross-referrals to other support.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A need for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evidence of outcomes, routine monitoring. </w:t>
            </w:r>
          </w:p>
        </w:tc>
      </w:tr>
      <w:tr w:rsidR="000A62F0" w14:paraId="7057DF49" w14:textId="77777777" w:rsidTr="007A3089">
        <w:trPr>
          <w:trHeight w:val="890"/>
        </w:trPr>
        <w:tc>
          <w:tcPr>
            <w:tcW w:w="1317" w:type="dxa"/>
          </w:tcPr>
          <w:p w14:paraId="3C6D0E29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</w:rPr>
              <w:t xml:space="preserve">Rosenman S, et al 2000. Efficacy of continuing advocacy in involuntary treatment.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Psychiatr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 xml:space="preserve"> Serv. 51(8):1029-33.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doi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 xml:space="preserve">: 10.1176/appi.ps.51.8.1029.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15" w:type="dxa"/>
          </w:tcPr>
          <w:p w14:paraId="3EC51CD4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Australia </w:t>
            </w:r>
          </w:p>
        </w:tc>
        <w:tc>
          <w:tcPr>
            <w:tcW w:w="1354" w:type="dxa"/>
          </w:tcPr>
          <w:p w14:paraId="2AEFB401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Mental health advocacy (evaluating a specific kind of specialised personal advocacy which was different from routine advocacy)</w:t>
            </w:r>
          </w:p>
        </w:tc>
        <w:tc>
          <w:tcPr>
            <w:tcW w:w="1191" w:type="dxa"/>
          </w:tcPr>
          <w:p w14:paraId="48D94CAD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105 involuntarily hospitalized psychiatric inpatients</w:t>
            </w:r>
          </w:p>
        </w:tc>
        <w:tc>
          <w:tcPr>
            <w:tcW w:w="1250" w:type="dxa"/>
          </w:tcPr>
          <w:p w14:paraId="535F592C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Inpatient </w:t>
            </w:r>
          </w:p>
        </w:tc>
        <w:tc>
          <w:tcPr>
            <w:tcW w:w="1494" w:type="dxa"/>
          </w:tcPr>
          <w:p w14:paraId="0BECBC0A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Comparative study</w:t>
            </w:r>
          </w:p>
        </w:tc>
        <w:tc>
          <w:tcPr>
            <w:tcW w:w="1494" w:type="dxa"/>
          </w:tcPr>
          <w:p w14:paraId="13F670F3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Advocacy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focused on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improv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ing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satisfaction with hospital care, reduced rehospitalisation, increased community tenure. </w:t>
            </w:r>
          </w:p>
        </w:tc>
      </w:tr>
      <w:tr w:rsidR="000A62F0" w14:paraId="0274FD8E" w14:textId="77777777" w:rsidTr="007A3089">
        <w:trPr>
          <w:trHeight w:val="510"/>
        </w:trPr>
        <w:tc>
          <w:tcPr>
            <w:tcW w:w="1317" w:type="dxa"/>
          </w:tcPr>
          <w:p w14:paraId="761DD885" w14:textId="77777777" w:rsidR="000A62F0" w:rsidRDefault="000A62F0" w:rsidP="007A3089">
            <w:pPr>
              <w:rPr>
                <w:color w:val="333333"/>
                <w:sz w:val="20"/>
                <w:szCs w:val="20"/>
              </w:rPr>
            </w:pPr>
            <w:r w:rsidRPr="2CDD05A0">
              <w:rPr>
                <w:color w:val="000000" w:themeColor="text1"/>
                <w:sz w:val="20"/>
                <w:szCs w:val="20"/>
              </w:rPr>
              <w:t xml:space="preserve">Townson, L. 2007. Research project on advocacy and autism. </w:t>
            </w:r>
            <w:r w:rsidRPr="2CDD05A0">
              <w:rPr>
                <w:color w:val="333333"/>
                <w:sz w:val="20"/>
                <w:szCs w:val="20"/>
              </w:rPr>
              <w:t>Disability &amp; Society, 22(5), 523–536. doi.org/10.10</w:t>
            </w:r>
            <w:r w:rsidRPr="2CDD05A0">
              <w:rPr>
                <w:color w:val="333333"/>
                <w:sz w:val="20"/>
                <w:szCs w:val="20"/>
              </w:rPr>
              <w:lastRenderedPageBreak/>
              <w:t>80/09687590701427669</w:t>
            </w:r>
          </w:p>
        </w:tc>
        <w:tc>
          <w:tcPr>
            <w:tcW w:w="915" w:type="dxa"/>
          </w:tcPr>
          <w:p w14:paraId="720860D2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lastRenderedPageBreak/>
              <w:t>England</w:t>
            </w:r>
          </w:p>
        </w:tc>
        <w:tc>
          <w:tcPr>
            <w:tcW w:w="1354" w:type="dxa"/>
          </w:tcPr>
          <w:p w14:paraId="467757E4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Mental health advocacy </w:t>
            </w:r>
          </w:p>
        </w:tc>
        <w:tc>
          <w:tcPr>
            <w:tcW w:w="1191" w:type="dxa"/>
          </w:tcPr>
          <w:p w14:paraId="6B73AC8D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Doesn't specify </w:t>
            </w:r>
          </w:p>
        </w:tc>
        <w:tc>
          <w:tcPr>
            <w:tcW w:w="1250" w:type="dxa"/>
          </w:tcPr>
          <w:p w14:paraId="4FAF9E8C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Community</w:t>
            </w:r>
          </w:p>
        </w:tc>
        <w:tc>
          <w:tcPr>
            <w:tcW w:w="1494" w:type="dxa"/>
          </w:tcPr>
          <w:p w14:paraId="1F624E7B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Multimethod qualitative</w:t>
            </w:r>
          </w:p>
        </w:tc>
        <w:tc>
          <w:tcPr>
            <w:tcW w:w="1494" w:type="dxa"/>
          </w:tcPr>
          <w:p w14:paraId="1969948F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>Advocacy providing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pro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-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active negotiation mechanism</w:t>
            </w:r>
          </w:p>
        </w:tc>
      </w:tr>
      <w:tr w:rsidR="000A62F0" w14:paraId="08834D28" w14:textId="77777777" w:rsidTr="007A3089">
        <w:trPr>
          <w:trHeight w:val="640"/>
        </w:trPr>
        <w:tc>
          <w:tcPr>
            <w:tcW w:w="1317" w:type="dxa"/>
          </w:tcPr>
          <w:p w14:paraId="5D2FEEA0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r w:rsidRPr="2CDD05A0">
              <w:rPr>
                <w:color w:val="000000" w:themeColor="text1"/>
                <w:sz w:val="20"/>
                <w:szCs w:val="20"/>
              </w:rPr>
              <w:t xml:space="preserve">Olin SS, et al 2010. Impact of Empowerment Training on the Professional Work of Family Peer Advocates. Child Youth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Serv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 xml:space="preserve"> Rev. 1;32(10):1426-1429.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doi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>: 10.1016/j.childyouth.2010.06.012</w:t>
            </w:r>
          </w:p>
        </w:tc>
        <w:tc>
          <w:tcPr>
            <w:tcW w:w="915" w:type="dxa"/>
          </w:tcPr>
          <w:p w14:paraId="12E25941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US</w:t>
            </w:r>
          </w:p>
        </w:tc>
        <w:tc>
          <w:tcPr>
            <w:tcW w:w="1354" w:type="dxa"/>
          </w:tcPr>
          <w:p w14:paraId="1086D707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Family peer advocates</w:t>
            </w:r>
          </w:p>
        </w:tc>
        <w:tc>
          <w:tcPr>
            <w:tcW w:w="1191" w:type="dxa"/>
          </w:tcPr>
          <w:p w14:paraId="1FF3D4CD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17 family peer advocates</w:t>
            </w:r>
          </w:p>
        </w:tc>
        <w:tc>
          <w:tcPr>
            <w:tcW w:w="1250" w:type="dxa"/>
          </w:tcPr>
          <w:p w14:paraId="68378B38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Inpatient and community</w:t>
            </w:r>
          </w:p>
        </w:tc>
        <w:tc>
          <w:tcPr>
            <w:tcW w:w="1494" w:type="dxa"/>
          </w:tcPr>
          <w:p w14:paraId="35E4DFE0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Comparative study- knowledge of advocates before and after training</w:t>
            </w:r>
          </w:p>
        </w:tc>
        <w:tc>
          <w:tcPr>
            <w:tcW w:w="1494" w:type="dxa"/>
          </w:tcPr>
          <w:p w14:paraId="286D69DF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Advocacy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organisations to focus on workforce development (staff competence)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0A62F0" w14:paraId="69CE79F5" w14:textId="77777777" w:rsidTr="007A3089">
        <w:trPr>
          <w:trHeight w:val="600"/>
        </w:trPr>
        <w:tc>
          <w:tcPr>
            <w:tcW w:w="1317" w:type="dxa"/>
          </w:tcPr>
          <w:p w14:paraId="3033B366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r w:rsidRPr="2CDD05A0">
              <w:rPr>
                <w:color w:val="000000" w:themeColor="text1"/>
                <w:sz w:val="20"/>
                <w:szCs w:val="20"/>
              </w:rPr>
              <w:t xml:space="preserve">Weller P, et al. 2019. The need for independent advocacy for people subject to mental health community treatment orders. Int J Law Psychiatry. 66:101452.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doi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>: 10.1016/j.ijlp.2019.101452.</w:t>
            </w:r>
          </w:p>
        </w:tc>
        <w:tc>
          <w:tcPr>
            <w:tcW w:w="915" w:type="dxa"/>
          </w:tcPr>
          <w:p w14:paraId="4A762EEA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Australia </w:t>
            </w:r>
          </w:p>
        </w:tc>
        <w:tc>
          <w:tcPr>
            <w:tcW w:w="1354" w:type="dxa"/>
          </w:tcPr>
          <w:p w14:paraId="32F29F33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IMHA</w:t>
            </w:r>
          </w:p>
        </w:tc>
        <w:tc>
          <w:tcPr>
            <w:tcW w:w="1191" w:type="dxa"/>
          </w:tcPr>
          <w:p w14:paraId="20D2395A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76 interview participants, 81 focus group participants, 300 survey respondents</w:t>
            </w:r>
          </w:p>
        </w:tc>
        <w:tc>
          <w:tcPr>
            <w:tcW w:w="1250" w:type="dxa"/>
          </w:tcPr>
          <w:p w14:paraId="3BEEF2A9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Community</w:t>
            </w:r>
          </w:p>
        </w:tc>
        <w:tc>
          <w:tcPr>
            <w:tcW w:w="1494" w:type="dxa"/>
          </w:tcPr>
          <w:p w14:paraId="58E00360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Mixed methods: interviews, focus groups and survey</w:t>
            </w:r>
          </w:p>
        </w:tc>
        <w:tc>
          <w:tcPr>
            <w:tcW w:w="1494" w:type="dxa"/>
          </w:tcPr>
          <w:p w14:paraId="24EE6CBE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Advocacy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to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protect rights, ensur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e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patients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are heard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.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 Awareness raising to take place 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among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c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linicians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zh-CN"/>
              </w:rPr>
              <w:t>.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0A62F0" w14:paraId="668075F2" w14:textId="77777777" w:rsidTr="007A3089">
        <w:trPr>
          <w:trHeight w:val="590"/>
        </w:trPr>
        <w:tc>
          <w:tcPr>
            <w:tcW w:w="1317" w:type="dxa"/>
          </w:tcPr>
          <w:p w14:paraId="31298A0A" w14:textId="77777777" w:rsidR="000A62F0" w:rsidRDefault="000A62F0" w:rsidP="007A3089">
            <w:pPr>
              <w:rPr>
                <w:color w:val="333333"/>
                <w:sz w:val="20"/>
                <w:szCs w:val="20"/>
              </w:rPr>
            </w:pPr>
            <w:r w:rsidRPr="2CDD05A0">
              <w:rPr>
                <w:color w:val="000000" w:themeColor="text1"/>
                <w:sz w:val="20"/>
                <w:szCs w:val="20"/>
              </w:rPr>
              <w:t xml:space="preserve">Maylea, C., et al. 2020. Independent Mental Health Advocacy: A Model of Social Work Advocacy? </w:t>
            </w:r>
            <w:r w:rsidRPr="2CDD05A0">
              <w:rPr>
                <w:sz w:val="20"/>
                <w:szCs w:val="20"/>
              </w:rPr>
              <w:t>Australian Social Work, 73(3), 334–346. https://doi.org/10.1080/0312407X.2020.1725076</w:t>
            </w:r>
          </w:p>
        </w:tc>
        <w:tc>
          <w:tcPr>
            <w:tcW w:w="915" w:type="dxa"/>
          </w:tcPr>
          <w:p w14:paraId="21A179E7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Australia </w:t>
            </w:r>
          </w:p>
        </w:tc>
        <w:tc>
          <w:tcPr>
            <w:tcW w:w="1354" w:type="dxa"/>
          </w:tcPr>
          <w:p w14:paraId="4ACE4558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IMHA</w:t>
            </w:r>
          </w:p>
        </w:tc>
        <w:tc>
          <w:tcPr>
            <w:tcW w:w="1191" w:type="dxa"/>
          </w:tcPr>
          <w:p w14:paraId="6647242C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467 participants across focus groups, interviews and online survey respondents</w:t>
            </w:r>
          </w:p>
        </w:tc>
        <w:tc>
          <w:tcPr>
            <w:tcW w:w="1250" w:type="dxa"/>
          </w:tcPr>
          <w:p w14:paraId="524398B4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Inpatient </w:t>
            </w:r>
          </w:p>
        </w:tc>
        <w:tc>
          <w:tcPr>
            <w:tcW w:w="1494" w:type="dxa"/>
          </w:tcPr>
          <w:p w14:paraId="064620BD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Mixed method: interviews, focus groups and online survey</w:t>
            </w:r>
          </w:p>
        </w:tc>
        <w:tc>
          <w:tcPr>
            <w:tcW w:w="1494" w:type="dxa"/>
          </w:tcPr>
          <w:p w14:paraId="4B62A2FD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Advocacy supporting rights of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 patients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.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 A focus needed on systemic advocacy. </w:t>
            </w:r>
          </w:p>
          <w:p w14:paraId="2213A3D2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0A62F0" w14:paraId="27280DF0" w14:textId="77777777" w:rsidTr="007A3089">
        <w:trPr>
          <w:trHeight w:val="870"/>
        </w:trPr>
        <w:tc>
          <w:tcPr>
            <w:tcW w:w="1317" w:type="dxa"/>
          </w:tcPr>
          <w:p w14:paraId="6939A9C4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r w:rsidRPr="2CDD05A0">
              <w:rPr>
                <w:color w:val="000000" w:themeColor="text1"/>
                <w:sz w:val="20"/>
                <w:szCs w:val="20"/>
              </w:rPr>
              <w:t xml:space="preserve">Foley R et al 2007. Place and </w:t>
            </w:r>
            <w:proofErr w:type="gramStart"/>
            <w:r w:rsidRPr="2CDD05A0">
              <w:rPr>
                <w:color w:val="000000" w:themeColor="text1"/>
                <w:sz w:val="20"/>
                <w:szCs w:val="20"/>
              </w:rPr>
              <w:t>provision:</w:t>
            </w:r>
            <w:proofErr w:type="gramEnd"/>
            <w:r w:rsidRPr="2CDD05A0">
              <w:rPr>
                <w:color w:val="000000" w:themeColor="text1"/>
                <w:sz w:val="20"/>
                <w:szCs w:val="20"/>
              </w:rPr>
              <w:t xml:space="preserve"> mapping mental health </w:t>
            </w:r>
            <w:r w:rsidRPr="2CDD05A0">
              <w:rPr>
                <w:color w:val="000000" w:themeColor="text1"/>
                <w:sz w:val="20"/>
                <w:szCs w:val="20"/>
              </w:rPr>
              <w:lastRenderedPageBreak/>
              <w:t xml:space="preserve">advocacy services in London. Soc Sci Med. 64(3):617-32.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doi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>: 10.1016/j.socscimed.2006.09.014</w:t>
            </w:r>
          </w:p>
        </w:tc>
        <w:tc>
          <w:tcPr>
            <w:tcW w:w="915" w:type="dxa"/>
          </w:tcPr>
          <w:p w14:paraId="6432B0C6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lastRenderedPageBreak/>
              <w:t>UK</w:t>
            </w:r>
          </w:p>
        </w:tc>
        <w:tc>
          <w:tcPr>
            <w:tcW w:w="1354" w:type="dxa"/>
          </w:tcPr>
          <w:p w14:paraId="07B47D57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mental health advocacy</w:t>
            </w:r>
          </w:p>
        </w:tc>
        <w:tc>
          <w:tcPr>
            <w:tcW w:w="1191" w:type="dxa"/>
          </w:tcPr>
          <w:p w14:paraId="32392B2D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29 agencies and 12 funders as survey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respondentsand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38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lastRenderedPageBreak/>
              <w:t>focus group participants</w:t>
            </w:r>
          </w:p>
        </w:tc>
        <w:tc>
          <w:tcPr>
            <w:tcW w:w="1250" w:type="dxa"/>
          </w:tcPr>
          <w:p w14:paraId="563A3C81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lastRenderedPageBreak/>
              <w:t xml:space="preserve">All types (mapping range of advocacy services) </w:t>
            </w:r>
          </w:p>
        </w:tc>
        <w:tc>
          <w:tcPr>
            <w:tcW w:w="1494" w:type="dxa"/>
          </w:tcPr>
          <w:p w14:paraId="133014EE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Mixed methods: survey and focus groups</w:t>
            </w:r>
          </w:p>
        </w:tc>
        <w:tc>
          <w:tcPr>
            <w:tcW w:w="1494" w:type="dxa"/>
          </w:tcPr>
          <w:p w14:paraId="369FAFCD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>Advocacy to focus on e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quitable </w:t>
            </w:r>
            <w:proofErr w:type="gramStart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access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.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.</w:t>
            </w:r>
            <w:proofErr w:type="gramEnd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0A62F0" w14:paraId="56F064E8" w14:textId="77777777" w:rsidTr="007A3089">
        <w:trPr>
          <w:trHeight w:val="600"/>
        </w:trPr>
        <w:tc>
          <w:tcPr>
            <w:tcW w:w="1317" w:type="dxa"/>
          </w:tcPr>
          <w:p w14:paraId="46AB6815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r w:rsidRPr="2CDD05A0">
              <w:rPr>
                <w:color w:val="000000" w:themeColor="text1"/>
                <w:sz w:val="20"/>
                <w:szCs w:val="20"/>
              </w:rPr>
              <w:t xml:space="preserve">Rosales, M. et al. 2018. Identity as a rights advocate: contextualizing the understanding of mental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healtassociations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 xml:space="preserve"> in Argentina. Disability &amp; Society, 33(8), 1349–1365. https://doi.org/10.1080/09687599.2018.1488678</w:t>
            </w:r>
          </w:p>
        </w:tc>
        <w:tc>
          <w:tcPr>
            <w:tcW w:w="915" w:type="dxa"/>
          </w:tcPr>
          <w:p w14:paraId="38C4DACD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Argentina</w:t>
            </w:r>
          </w:p>
        </w:tc>
        <w:tc>
          <w:tcPr>
            <w:tcW w:w="1354" w:type="dxa"/>
          </w:tcPr>
          <w:p w14:paraId="730AB6E6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mental health rights advocacy</w:t>
            </w:r>
          </w:p>
        </w:tc>
        <w:tc>
          <w:tcPr>
            <w:tcW w:w="1191" w:type="dxa"/>
          </w:tcPr>
          <w:p w14:paraId="7D1779E1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8 participants who were regular members of the association</w:t>
            </w:r>
          </w:p>
        </w:tc>
        <w:tc>
          <w:tcPr>
            <w:tcW w:w="1250" w:type="dxa"/>
          </w:tcPr>
          <w:p w14:paraId="08ABB556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Community</w:t>
            </w:r>
          </w:p>
        </w:tc>
        <w:tc>
          <w:tcPr>
            <w:tcW w:w="1494" w:type="dxa"/>
          </w:tcPr>
          <w:p w14:paraId="3E585CD0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Descriptive qualitative based on participatory action research</w:t>
            </w:r>
          </w:p>
        </w:tc>
        <w:tc>
          <w:tcPr>
            <w:tcW w:w="1494" w:type="dxa"/>
          </w:tcPr>
          <w:p w14:paraId="5EED76B8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Advocacy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focused on improved social rights. </w:t>
            </w:r>
          </w:p>
        </w:tc>
      </w:tr>
      <w:tr w:rsidR="000A62F0" w14:paraId="510971AB" w14:textId="77777777" w:rsidTr="007A3089">
        <w:trPr>
          <w:trHeight w:val="900"/>
        </w:trPr>
        <w:tc>
          <w:tcPr>
            <w:tcW w:w="1317" w:type="dxa"/>
          </w:tcPr>
          <w:p w14:paraId="5F5BFFFB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Kleintjes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 xml:space="preserve"> S, et al. 2012. South African mental health care service user views on priorities for supporting recovery: implications for policy and service development.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Disabil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Rehabil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 xml:space="preserve">. 34(26):2272-80.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doi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>: 10.3109/09638288.2012.681005.</w:t>
            </w:r>
          </w:p>
        </w:tc>
        <w:tc>
          <w:tcPr>
            <w:tcW w:w="915" w:type="dxa"/>
          </w:tcPr>
          <w:p w14:paraId="67782902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South Africa</w:t>
            </w:r>
          </w:p>
        </w:tc>
        <w:tc>
          <w:tcPr>
            <w:tcW w:w="1354" w:type="dxa"/>
          </w:tcPr>
          <w:p w14:paraId="07CA0FFD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user advocacy (mental health)</w:t>
            </w:r>
          </w:p>
        </w:tc>
        <w:tc>
          <w:tcPr>
            <w:tcW w:w="1191" w:type="dxa"/>
          </w:tcPr>
          <w:p w14:paraId="6DD423B7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40 interview participants</w:t>
            </w:r>
          </w:p>
        </w:tc>
        <w:tc>
          <w:tcPr>
            <w:tcW w:w="1250" w:type="dxa"/>
          </w:tcPr>
          <w:p w14:paraId="7E6B1644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Both inpatient and outpatient</w:t>
            </w:r>
          </w:p>
        </w:tc>
        <w:tc>
          <w:tcPr>
            <w:tcW w:w="1494" w:type="dxa"/>
          </w:tcPr>
          <w:p w14:paraId="6D423965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Semi structured interviews </w:t>
            </w:r>
          </w:p>
        </w:tc>
        <w:tc>
          <w:tcPr>
            <w:tcW w:w="1494" w:type="dxa"/>
          </w:tcPr>
          <w:p w14:paraId="20A0B9ED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Advocacy to have a more active role in decision-making to impact </w:t>
            </w:r>
            <w:proofErr w:type="gramStart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recovery ,</w:t>
            </w:r>
            <w:proofErr w:type="gramEnd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giving a voice and upholding rights. </w:t>
            </w:r>
          </w:p>
        </w:tc>
      </w:tr>
      <w:tr w:rsidR="000A62F0" w14:paraId="1408CC13" w14:textId="77777777" w:rsidTr="007A3089">
        <w:trPr>
          <w:trHeight w:val="660"/>
        </w:trPr>
        <w:tc>
          <w:tcPr>
            <w:tcW w:w="1317" w:type="dxa"/>
          </w:tcPr>
          <w:p w14:paraId="725A8C47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r w:rsidRPr="2CDD05A0">
              <w:rPr>
                <w:color w:val="000000" w:themeColor="text1"/>
                <w:sz w:val="20"/>
                <w:szCs w:val="20"/>
              </w:rPr>
              <w:t xml:space="preserve">Tideman, M et al. 2015. Young people with intellectual disability—The role of self-advocacy in a transformed </w:t>
            </w:r>
            <w:r w:rsidRPr="2CDD05A0">
              <w:rPr>
                <w:color w:val="000000" w:themeColor="text1"/>
                <w:sz w:val="20"/>
                <w:szCs w:val="20"/>
              </w:rPr>
              <w:lastRenderedPageBreak/>
              <w:t>Swedish welfare system. International Journal of Qualitative Studies on Health and Well-Being, 10(1). https://doi.org/10.3402/qhw.v10.25100</w:t>
            </w:r>
          </w:p>
        </w:tc>
        <w:tc>
          <w:tcPr>
            <w:tcW w:w="915" w:type="dxa"/>
          </w:tcPr>
          <w:p w14:paraId="16C473DC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lastRenderedPageBreak/>
              <w:t>Sweden</w:t>
            </w:r>
          </w:p>
        </w:tc>
        <w:tc>
          <w:tcPr>
            <w:tcW w:w="1354" w:type="dxa"/>
          </w:tcPr>
          <w:p w14:paraId="099D8057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Disability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self advocacy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groups </w:t>
            </w:r>
          </w:p>
        </w:tc>
        <w:tc>
          <w:tcPr>
            <w:tcW w:w="1191" w:type="dxa"/>
          </w:tcPr>
          <w:p w14:paraId="7A512CAB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12 regular members of advocacy group</w:t>
            </w:r>
          </w:p>
        </w:tc>
        <w:tc>
          <w:tcPr>
            <w:tcW w:w="1250" w:type="dxa"/>
          </w:tcPr>
          <w:p w14:paraId="172B9CA0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Community</w:t>
            </w:r>
          </w:p>
        </w:tc>
        <w:tc>
          <w:tcPr>
            <w:tcW w:w="1494" w:type="dxa"/>
          </w:tcPr>
          <w:p w14:paraId="7F246D61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Qualitative </w:t>
            </w:r>
          </w:p>
        </w:tc>
        <w:tc>
          <w:tcPr>
            <w:tcW w:w="1494" w:type="dxa"/>
          </w:tcPr>
          <w:p w14:paraId="3385187A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 xml:space="preserve">Advocates to use 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person centred approach, valuing identity, rights and experience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.</w:t>
            </w:r>
          </w:p>
        </w:tc>
      </w:tr>
      <w:tr w:rsidR="000A62F0" w14:paraId="6E08DE3C" w14:textId="77777777" w:rsidTr="007A3089">
        <w:trPr>
          <w:trHeight w:val="550"/>
        </w:trPr>
        <w:tc>
          <w:tcPr>
            <w:tcW w:w="1317" w:type="dxa"/>
          </w:tcPr>
          <w:p w14:paraId="3089C0E2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r w:rsidRPr="2CDD05A0">
              <w:rPr>
                <w:color w:val="000000" w:themeColor="text1"/>
                <w:sz w:val="20"/>
                <w:szCs w:val="20"/>
              </w:rPr>
              <w:t>Drage J. 2012. New Zealand's National Health and Disability Advocacy Service: a successful model of advocacy. Health Hum Rights. 15;14(1</w:t>
            </w:r>
            <w:proofErr w:type="gramStart"/>
            <w:r w:rsidRPr="2CDD05A0">
              <w:rPr>
                <w:color w:val="000000" w:themeColor="text1"/>
                <w:sz w:val="20"/>
                <w:szCs w:val="20"/>
              </w:rPr>
              <w:t>):E</w:t>
            </w:r>
            <w:proofErr w:type="gramEnd"/>
            <w:r w:rsidRPr="2CDD05A0">
              <w:rPr>
                <w:color w:val="000000" w:themeColor="text1"/>
                <w:sz w:val="20"/>
                <w:szCs w:val="20"/>
              </w:rPr>
              <w:t xml:space="preserve">53-63. </w:t>
            </w:r>
          </w:p>
        </w:tc>
        <w:tc>
          <w:tcPr>
            <w:tcW w:w="915" w:type="dxa"/>
          </w:tcPr>
          <w:p w14:paraId="2FB9589F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New Zealand </w:t>
            </w:r>
          </w:p>
        </w:tc>
        <w:tc>
          <w:tcPr>
            <w:tcW w:w="1354" w:type="dxa"/>
          </w:tcPr>
          <w:p w14:paraId="7489A047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Disability advocacy </w:t>
            </w:r>
          </w:p>
        </w:tc>
        <w:tc>
          <w:tcPr>
            <w:tcW w:w="1191" w:type="dxa"/>
          </w:tcPr>
          <w:p w14:paraId="5ED6BFCC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One case study (no primary data)</w:t>
            </w:r>
          </w:p>
        </w:tc>
        <w:tc>
          <w:tcPr>
            <w:tcW w:w="1250" w:type="dxa"/>
          </w:tcPr>
          <w:p w14:paraId="6F88E6A0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Community </w:t>
            </w:r>
          </w:p>
        </w:tc>
        <w:tc>
          <w:tcPr>
            <w:tcW w:w="1494" w:type="dxa"/>
          </w:tcPr>
          <w:p w14:paraId="72046914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Case study (service has 50 advocates in 25 </w:t>
            </w:r>
            <w:proofErr w:type="gramStart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community based</w:t>
            </w:r>
            <w:proofErr w:type="gramEnd"/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offices) </w:t>
            </w:r>
          </w:p>
        </w:tc>
        <w:tc>
          <w:tcPr>
            <w:tcW w:w="1494" w:type="dxa"/>
          </w:tcPr>
          <w:p w14:paraId="2E402645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Advocates demonstrating professionalism, good knowledge, communication and focused on resolution. 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Advocacy to provide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empower</w:t>
            </w:r>
            <w:r>
              <w:rPr>
                <w:color w:val="000000" w:themeColor="text1"/>
                <w:sz w:val="20"/>
                <w:szCs w:val="20"/>
                <w:lang w:eastAsia="zh-CN"/>
              </w:rPr>
              <w:t>ment</w:t>
            </w: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 when advocates are legally mandated and independent.  </w:t>
            </w:r>
          </w:p>
        </w:tc>
      </w:tr>
      <w:tr w:rsidR="000A62F0" w14:paraId="6760F4EF" w14:textId="77777777" w:rsidTr="007A3089">
        <w:trPr>
          <w:trHeight w:val="1450"/>
        </w:trPr>
        <w:tc>
          <w:tcPr>
            <w:tcW w:w="1317" w:type="dxa"/>
          </w:tcPr>
          <w:p w14:paraId="65429456" w14:textId="77777777" w:rsidR="000A62F0" w:rsidRDefault="000A62F0" w:rsidP="007A3089">
            <w:pPr>
              <w:rPr>
                <w:color w:val="000000"/>
                <w:sz w:val="20"/>
                <w:szCs w:val="20"/>
              </w:rPr>
            </w:pPr>
            <w:r w:rsidRPr="2CDD05A0">
              <w:rPr>
                <w:color w:val="000000" w:themeColor="text1"/>
                <w:sz w:val="20"/>
                <w:szCs w:val="20"/>
              </w:rPr>
              <w:t xml:space="preserve">Brolan, C. E. 2012. Health advocacy: a vital step in attaining human rights for adults with intellectual disability. J Intellect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Disabil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 xml:space="preserve"> Res. 56(11):1087-97. </w:t>
            </w:r>
            <w:proofErr w:type="spellStart"/>
            <w:r w:rsidRPr="2CDD05A0">
              <w:rPr>
                <w:color w:val="000000" w:themeColor="text1"/>
                <w:sz w:val="20"/>
                <w:szCs w:val="20"/>
              </w:rPr>
              <w:t>doi</w:t>
            </w:r>
            <w:proofErr w:type="spellEnd"/>
            <w:r w:rsidRPr="2CDD05A0">
              <w:rPr>
                <w:color w:val="000000" w:themeColor="text1"/>
                <w:sz w:val="20"/>
                <w:szCs w:val="20"/>
              </w:rPr>
              <w:t>: 10.1111/j.1365-2788.2012.</w:t>
            </w:r>
            <w:proofErr w:type="gramStart"/>
            <w:r w:rsidRPr="2CDD05A0">
              <w:rPr>
                <w:color w:val="000000" w:themeColor="text1"/>
                <w:sz w:val="20"/>
                <w:szCs w:val="20"/>
              </w:rPr>
              <w:t>01637.x.</w:t>
            </w:r>
            <w:proofErr w:type="gramEnd"/>
          </w:p>
        </w:tc>
        <w:tc>
          <w:tcPr>
            <w:tcW w:w="915" w:type="dxa"/>
          </w:tcPr>
          <w:p w14:paraId="4641A0DA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Australia </w:t>
            </w:r>
          </w:p>
        </w:tc>
        <w:tc>
          <w:tcPr>
            <w:tcW w:w="1354" w:type="dxa"/>
          </w:tcPr>
          <w:p w14:paraId="5EC49D77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>Intellectual disability advocacy by family members and paid support workers</w:t>
            </w:r>
          </w:p>
        </w:tc>
        <w:tc>
          <w:tcPr>
            <w:tcW w:w="1191" w:type="dxa"/>
          </w:tcPr>
          <w:p w14:paraId="37D9C901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113 parents and 84 support workers of adults with intellectual disabilities </w:t>
            </w:r>
          </w:p>
        </w:tc>
        <w:tc>
          <w:tcPr>
            <w:tcW w:w="1250" w:type="dxa"/>
          </w:tcPr>
          <w:p w14:paraId="3900FEFC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Inpatient and community. </w:t>
            </w:r>
          </w:p>
        </w:tc>
        <w:tc>
          <w:tcPr>
            <w:tcW w:w="1494" w:type="dxa"/>
          </w:tcPr>
          <w:p w14:paraId="7642D84B" w14:textId="77777777" w:rsidR="000A62F0" w:rsidRDefault="000A62F0" w:rsidP="007A3089">
            <w:pPr>
              <w:rPr>
                <w:color w:val="000000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Randomised control trial </w:t>
            </w:r>
          </w:p>
        </w:tc>
        <w:tc>
          <w:tcPr>
            <w:tcW w:w="1494" w:type="dxa"/>
          </w:tcPr>
          <w:p w14:paraId="7D70B1C6" w14:textId="77777777" w:rsidR="000A62F0" w:rsidRDefault="000A62F0" w:rsidP="007A3089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2CDD05A0">
              <w:rPr>
                <w:color w:val="000000" w:themeColor="text1"/>
                <w:sz w:val="20"/>
                <w:szCs w:val="20"/>
                <w:lang w:eastAsia="zh-CN"/>
              </w:rPr>
              <w:t xml:space="preserve">Key attributes for advocates included being protective, empathetic, loyal, determined, rights-based with good communication skills. </w:t>
            </w:r>
          </w:p>
        </w:tc>
      </w:tr>
    </w:tbl>
    <w:p w14:paraId="0DA16658" w14:textId="77777777" w:rsidR="000A62F0" w:rsidRDefault="000A62F0" w:rsidP="000A62F0">
      <w:pPr>
        <w:rPr>
          <w:rFonts w:eastAsia="Aptos"/>
        </w:rPr>
      </w:pPr>
    </w:p>
    <w:p w14:paraId="03DFF891" w14:textId="77777777" w:rsidR="000A62F0" w:rsidRDefault="000A62F0" w:rsidP="000A62F0">
      <w:pPr>
        <w:snapToGrid w:val="0"/>
        <w:rPr>
          <w:rFonts w:eastAsia="Aptos"/>
        </w:rPr>
      </w:pPr>
    </w:p>
    <w:p w14:paraId="424F87CD" w14:textId="77777777" w:rsidR="000A62F0" w:rsidRDefault="000A62F0" w:rsidP="000A62F0">
      <w:pPr>
        <w:pStyle w:val="Heading2"/>
        <w:snapToGrid w:val="0"/>
        <w:spacing w:before="0"/>
      </w:pPr>
    </w:p>
    <w:p w14:paraId="00199500" w14:textId="77777777" w:rsidR="000A62F0" w:rsidRDefault="000A62F0" w:rsidP="000A62F0">
      <w:pPr>
        <w:pStyle w:val="Heading2"/>
        <w:snapToGrid w:val="0"/>
        <w:spacing w:before="0"/>
      </w:pPr>
    </w:p>
    <w:p w14:paraId="3DE9C74B" w14:textId="77777777" w:rsidR="003F7813" w:rsidRDefault="003F7813"/>
    <w:sectPr w:rsidR="003F7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F0"/>
    <w:rsid w:val="000139FF"/>
    <w:rsid w:val="000A62F0"/>
    <w:rsid w:val="000F78AF"/>
    <w:rsid w:val="002561E3"/>
    <w:rsid w:val="002A41A1"/>
    <w:rsid w:val="002C76E1"/>
    <w:rsid w:val="00324FD4"/>
    <w:rsid w:val="003F7813"/>
    <w:rsid w:val="00D1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79326C"/>
  <w15:chartTrackingRefBased/>
  <w15:docId w15:val="{AC6D57CD-4B1D-6945-8AD8-AD118529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2F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2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2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2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2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2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2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2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A6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2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6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2F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6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2F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6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1333</Words>
  <Characters>8987</Characters>
  <Application>Microsoft Office Word</Application>
  <DocSecurity>0</DocSecurity>
  <Lines>998</Lines>
  <Paragraphs>177</Paragraphs>
  <ScaleCrop>false</ScaleCrop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Salla, Anthony</dc:creator>
  <cp:keywords/>
  <dc:description/>
  <cp:lastModifiedBy>Salla, Anthony</cp:lastModifiedBy>
  <cp:revision>1</cp:revision>
  <dcterms:created xsi:type="dcterms:W3CDTF">2026-03-19T16:05:00Z</dcterms:created>
  <dcterms:modified xsi:type="dcterms:W3CDTF">2026-03-19T16:06:00Z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2026-03-19T16:06:22Z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4f3ab00a-3c7b-4ab1-a6c7-1c76fee7ece8</vt:lpwstr>
  </property>
  <property fmtid="{D5CDD505-2E9C-101B-9397-08002B2CF9AE}" pid="8" name="MSIP_Label_06c24981-b6df-48f8-949b-0896357b9b03_ContentBits">
    <vt:lpwstr>0</vt:lpwstr>
  </property>
  <property fmtid="{D5CDD505-2E9C-101B-9397-08002B2CF9AE}" pid="9" name="MSIP_Label_06c24981-b6df-48f8-949b-0896357b9b03_Tag">
    <vt:lpwstr>50, 3, 0, 1</vt:lpwstr>
  </property>
</Properties>
</file>