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C16" w14:textId="77777777" w:rsidR="00DD469B" w:rsidRDefault="00A824C9">
      <w:pPr>
        <w:pStyle w:val="Heading1"/>
        <w:rPr>
          <w:rFonts w:eastAsia="Aptos"/>
        </w:rPr>
      </w:pPr>
      <w:r>
        <w:rPr>
          <w:rFonts w:eastAsia="Aptos"/>
        </w:rPr>
        <w:t>Table 4: Culturally Appropriate Advocacy Quality Standards</w:t>
      </w:r>
    </w:p>
    <w:p w14:paraId="088A63D3" w14:textId="54C7D12F" w:rsidR="00DD469B" w:rsidRDefault="00DD469B"/>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90"/>
        <w:gridCol w:w="2990"/>
        <w:gridCol w:w="2990"/>
      </w:tblGrid>
      <w:tr w:rsidR="00DD469B" w14:paraId="7098F70F" w14:textId="77777777">
        <w:trPr>
          <w:trHeight w:val="300"/>
        </w:trPr>
        <w:tc>
          <w:tcPr>
            <w:tcW w:w="8970" w:type="dxa"/>
            <w:gridSpan w:val="3"/>
            <w:tcBorders>
              <w:top w:val="single" w:sz="6" w:space="0" w:color="auto"/>
              <w:left w:val="single" w:sz="6" w:space="0" w:color="auto"/>
              <w:right w:val="single" w:sz="6" w:space="0" w:color="auto"/>
            </w:tcBorders>
            <w:shd w:val="clear" w:color="auto" w:fill="FFC000"/>
            <w:tcMar>
              <w:left w:w="60" w:type="dxa"/>
              <w:right w:w="60" w:type="dxa"/>
            </w:tcMar>
          </w:tcPr>
          <w:p w14:paraId="447E571C" w14:textId="60FBBA8A" w:rsidR="00DD469B" w:rsidRDefault="00A824C9">
            <w:pPr>
              <w:pStyle w:val="Heading2"/>
              <w:numPr>
                <w:ilvl w:val="0"/>
                <w:numId w:val="1"/>
              </w:numPr>
            </w:pPr>
            <w:r>
              <w:t xml:space="preserve">Equitable access: </w:t>
            </w:r>
            <w:r>
              <w:rPr>
                <w:rStyle w:val="Heading8Char"/>
                <w:i w:val="0"/>
                <w:iCs w:val="0"/>
                <w:color w:val="0E2841" w:themeColor="text2"/>
              </w:rPr>
              <w:t>Enhanced accessibility and increased availability.</w:t>
            </w:r>
          </w:p>
          <w:p w14:paraId="3DE0B553" w14:textId="77777777" w:rsidR="00DD469B" w:rsidRDefault="00DD469B">
            <w:pPr>
              <w:rPr>
                <w:rFonts w:ascii="Aptos" w:eastAsia="Aptos" w:hAnsi="Aptos" w:cs="Aptos"/>
                <w:color w:val="000000" w:themeColor="text1"/>
                <w:sz w:val="22"/>
                <w:szCs w:val="22"/>
              </w:rPr>
            </w:pPr>
          </w:p>
        </w:tc>
      </w:tr>
      <w:tr w:rsidR="00DD469B" w14:paraId="6C52B1E9" w14:textId="77777777">
        <w:trPr>
          <w:trHeight w:val="300"/>
        </w:trPr>
        <w:tc>
          <w:tcPr>
            <w:tcW w:w="2990" w:type="dxa"/>
            <w:tcBorders>
              <w:top w:val="single" w:sz="6" w:space="0" w:color="auto"/>
              <w:left w:val="single" w:sz="6" w:space="0" w:color="auto"/>
              <w:right w:val="single" w:sz="6" w:space="0" w:color="auto"/>
            </w:tcBorders>
            <w:tcMar>
              <w:left w:w="60" w:type="dxa"/>
              <w:right w:w="60" w:type="dxa"/>
            </w:tcMar>
          </w:tcPr>
          <w:p w14:paraId="374AE659" w14:textId="40F10BAE" w:rsidR="00DD469B" w:rsidRDefault="00D22D67">
            <w:pPr>
              <w:rPr>
                <w:rFonts w:ascii="Aptos" w:eastAsia="Aptos" w:hAnsi="Aptos" w:cs="Aptos"/>
                <w:color w:val="000000" w:themeColor="text1"/>
                <w:sz w:val="22"/>
                <w:szCs w:val="22"/>
              </w:rPr>
            </w:pPr>
            <w:r>
              <w:rPr>
                <w:rStyle w:val="normaltextrun"/>
                <w:rFonts w:ascii="Aptos" w:eastAsia="Aptos" w:hAnsi="Aptos" w:cs="Aptos"/>
                <w:b/>
                <w:bCs/>
                <w:color w:val="000000" w:themeColor="text1"/>
                <w:sz w:val="22"/>
                <w:szCs w:val="22"/>
              </w:rPr>
              <w:t>Quality standard</w:t>
            </w:r>
            <w:r w:rsidR="00A824C9">
              <w:rPr>
                <w:rStyle w:val="normaltextrun"/>
                <w:rFonts w:ascii="Aptos" w:eastAsia="Aptos" w:hAnsi="Aptos" w:cs="Aptos"/>
                <w:b/>
                <w:bCs/>
                <w:color w:val="000000" w:themeColor="text1"/>
                <w:sz w:val="22"/>
                <w:szCs w:val="22"/>
              </w:rPr>
              <w:t>:</w:t>
            </w:r>
          </w:p>
        </w:tc>
        <w:tc>
          <w:tcPr>
            <w:tcW w:w="2990" w:type="dxa"/>
            <w:tcBorders>
              <w:top w:val="single" w:sz="6" w:space="0" w:color="auto"/>
            </w:tcBorders>
            <w:tcMar>
              <w:left w:w="60" w:type="dxa"/>
              <w:right w:w="60" w:type="dxa"/>
            </w:tcMar>
          </w:tcPr>
          <w:p w14:paraId="4F73AD63" w14:textId="77777777" w:rsidR="00DD469B" w:rsidRDefault="00A824C9">
            <w:pPr>
              <w:rPr>
                <w:rFonts w:ascii="Aptos" w:eastAsia="Aptos" w:hAnsi="Aptos" w:cs="Aptos"/>
                <w:color w:val="000000" w:themeColor="text1"/>
                <w:sz w:val="22"/>
                <w:szCs w:val="22"/>
              </w:rPr>
            </w:pPr>
            <w:r>
              <w:rPr>
                <w:rStyle w:val="normaltextrun"/>
                <w:rFonts w:ascii="Aptos" w:eastAsia="Aptos" w:hAnsi="Aptos" w:cs="Aptos"/>
                <w:b/>
                <w:bCs/>
                <w:color w:val="000000" w:themeColor="text1"/>
                <w:sz w:val="22"/>
                <w:szCs w:val="22"/>
              </w:rPr>
              <w:t>Example outputs</w:t>
            </w:r>
          </w:p>
        </w:tc>
        <w:tc>
          <w:tcPr>
            <w:tcW w:w="2990" w:type="dxa"/>
            <w:tcBorders>
              <w:top w:val="single" w:sz="6" w:space="0" w:color="auto"/>
              <w:right w:val="single" w:sz="6" w:space="0" w:color="auto"/>
            </w:tcBorders>
            <w:tcMar>
              <w:left w:w="60" w:type="dxa"/>
              <w:right w:w="60" w:type="dxa"/>
            </w:tcMar>
          </w:tcPr>
          <w:p w14:paraId="23CF8CA1" w14:textId="77777777" w:rsidR="00DD469B" w:rsidRDefault="00A824C9">
            <w:pPr>
              <w:rPr>
                <w:rFonts w:ascii="Aptos" w:eastAsia="Aptos" w:hAnsi="Aptos" w:cs="Aptos"/>
                <w:color w:val="000000" w:themeColor="text1"/>
                <w:sz w:val="22"/>
                <w:szCs w:val="22"/>
              </w:rPr>
            </w:pPr>
            <w:r>
              <w:rPr>
                <w:rStyle w:val="normaltextrun"/>
                <w:rFonts w:ascii="Aptos" w:eastAsia="Aptos" w:hAnsi="Aptos" w:cs="Aptos"/>
                <w:b/>
                <w:bCs/>
                <w:color w:val="000000" w:themeColor="text1"/>
                <w:sz w:val="22"/>
                <w:szCs w:val="22"/>
              </w:rPr>
              <w:t xml:space="preserve">Example success indicators </w:t>
            </w:r>
          </w:p>
        </w:tc>
      </w:tr>
      <w:tr w:rsidR="00DD469B" w14:paraId="52AC6BFF" w14:textId="77777777">
        <w:trPr>
          <w:trHeight w:val="300"/>
        </w:trPr>
        <w:tc>
          <w:tcPr>
            <w:tcW w:w="2990" w:type="dxa"/>
            <w:tcBorders>
              <w:left w:val="single" w:sz="6" w:space="0" w:color="auto"/>
            </w:tcBorders>
            <w:tcMar>
              <w:left w:w="60" w:type="dxa"/>
              <w:right w:w="60" w:type="dxa"/>
            </w:tcMar>
          </w:tcPr>
          <w:p w14:paraId="3B80250A" w14:textId="29FAA284"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t>1a) Racially marginalised</w:t>
            </w:r>
            <w:r w:rsidR="00230B0F">
              <w:rPr>
                <w:rFonts w:ascii="Aptos" w:eastAsia="Aptos" w:hAnsi="Aptos" w:cs="Aptos"/>
                <w:color w:val="000000" w:themeColor="text1"/>
                <w:sz w:val="22"/>
                <w:szCs w:val="22"/>
              </w:rPr>
              <w:t xml:space="preserve"> with increased vulnerability for detention under the MHA</w:t>
            </w:r>
            <w:r>
              <w:rPr>
                <w:rFonts w:ascii="Aptos" w:eastAsia="Aptos" w:hAnsi="Aptos" w:cs="Aptos"/>
                <w:color w:val="000000" w:themeColor="text1"/>
                <w:sz w:val="22"/>
                <w:szCs w:val="22"/>
              </w:rPr>
              <w:t xml:space="preserve"> have opportunities for advocacy provision.</w:t>
            </w:r>
          </w:p>
          <w:p w14:paraId="3E19D1F7"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7F98C8B1" w14:textId="77777777"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Identify and understand pathways to care (e.g. points of contact with services) taken by diverse groups pre-detention in local area</w:t>
            </w:r>
          </w:p>
          <w:p w14:paraId="235837F2" w14:textId="1868B797"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Regular promotion of advocacy offers at locations with people at high risk of detention (e.g. places of safety, CMHT, L&amp;D)</w:t>
            </w:r>
          </w:p>
          <w:p w14:paraId="0A670C52" w14:textId="77777777"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Make advocacy arrangements at the point of MHA assessment where reasonable. </w:t>
            </w:r>
          </w:p>
          <w:p w14:paraId="2E504B41" w14:textId="77777777"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Advocacy organisations have an engagement strategy and action plan specifying their locality specific community approach. This will aim to ensure information about advocacy is routinely provided to diverse carers and community organisations. </w:t>
            </w:r>
          </w:p>
          <w:p w14:paraId="5963CF8F" w14:textId="1BB9FB66"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Senior </w:t>
            </w:r>
            <w:r w:rsidR="00653A0F">
              <w:rPr>
                <w:rFonts w:ascii="Aptos" w:eastAsia="Aptos" w:hAnsi="Aptos" w:cs="Aptos"/>
                <w:color w:val="000000" w:themeColor="text1"/>
                <w:sz w:val="22"/>
                <w:szCs w:val="22"/>
              </w:rPr>
              <w:t xml:space="preserve">advocacy managers </w:t>
            </w:r>
            <w:r>
              <w:rPr>
                <w:rFonts w:ascii="Aptos" w:eastAsia="Aptos" w:hAnsi="Aptos" w:cs="Aptos"/>
                <w:color w:val="000000" w:themeColor="text1"/>
                <w:sz w:val="22"/>
                <w:szCs w:val="22"/>
              </w:rPr>
              <w:t xml:space="preserve">will review the engagement strategy and action plan six monthly to ensure aims and targets are being met.  </w:t>
            </w:r>
          </w:p>
          <w:p w14:paraId="651E7DB5" w14:textId="77777777"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Referral system to advocacy services </w:t>
            </w:r>
            <w:r>
              <w:rPr>
                <w:rFonts w:ascii="Aptos" w:eastAsia="Aptos" w:hAnsi="Aptos" w:cs="Aptos"/>
                <w:color w:val="000000" w:themeColor="text1"/>
                <w:sz w:val="22"/>
                <w:szCs w:val="22"/>
              </w:rPr>
              <w:lastRenderedPageBreak/>
              <w:t xml:space="preserve">created with community sector organisations </w:t>
            </w:r>
          </w:p>
          <w:p w14:paraId="4CD1A974" w14:textId="67DB1D39" w:rsidR="00DD469B" w:rsidRDefault="00A824C9" w:rsidP="000657BC">
            <w:pPr>
              <w:pStyle w:val="ListParagraph"/>
              <w:numPr>
                <w:ilvl w:val="0"/>
                <w:numId w:val="2"/>
              </w:numPr>
              <w:spacing w:after="0" w:line="240" w:lineRule="auto"/>
              <w:rPr>
                <w:rFonts w:ascii="Aptos" w:eastAsia="Aptos" w:hAnsi="Aptos" w:cs="Aptos"/>
                <w:color w:val="000000" w:themeColor="text1"/>
                <w:sz w:val="22"/>
                <w:szCs w:val="22"/>
              </w:rPr>
            </w:pPr>
            <w:r w:rsidRPr="000657BC">
              <w:rPr>
                <w:rFonts w:ascii="Aptos" w:eastAsia="Aptos" w:hAnsi="Aptos" w:cs="Aptos"/>
                <w:color w:val="000000" w:themeColor="text1"/>
                <w:sz w:val="22"/>
                <w:szCs w:val="22"/>
              </w:rPr>
              <w:t xml:space="preserve">Outreach to family members to promote referral pathway. </w:t>
            </w:r>
          </w:p>
        </w:tc>
        <w:tc>
          <w:tcPr>
            <w:tcW w:w="2990" w:type="dxa"/>
            <w:tcBorders>
              <w:right w:val="single" w:sz="6" w:space="0" w:color="auto"/>
            </w:tcBorders>
            <w:tcMar>
              <w:left w:w="60" w:type="dxa"/>
              <w:right w:w="60" w:type="dxa"/>
            </w:tcMar>
          </w:tcPr>
          <w:p w14:paraId="225EA301" w14:textId="274EEC44"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Increase in</w:t>
            </w:r>
            <w:r w:rsidR="00230B0F">
              <w:rPr>
                <w:rFonts w:ascii="Aptos" w:eastAsia="Aptos" w:hAnsi="Aptos" w:cs="Aptos"/>
                <w:color w:val="000000" w:themeColor="text1"/>
                <w:sz w:val="22"/>
                <w:szCs w:val="22"/>
              </w:rPr>
              <w:t xml:space="preserve"> availability of advocacy for </w:t>
            </w:r>
            <w:r>
              <w:rPr>
                <w:rFonts w:ascii="Aptos" w:eastAsia="Aptos" w:hAnsi="Aptos" w:cs="Aptos"/>
                <w:color w:val="000000" w:themeColor="text1"/>
                <w:sz w:val="22"/>
                <w:szCs w:val="22"/>
              </w:rPr>
              <w:t xml:space="preserve">racially minoritised people </w:t>
            </w:r>
            <w:r w:rsidR="00230B0F">
              <w:rPr>
                <w:rFonts w:ascii="Aptos" w:eastAsia="Aptos" w:hAnsi="Aptos" w:cs="Aptos"/>
                <w:color w:val="000000" w:themeColor="text1"/>
                <w:sz w:val="22"/>
                <w:szCs w:val="22"/>
              </w:rPr>
              <w:t xml:space="preserve">with increased vulnerability of MHA </w:t>
            </w:r>
            <w:r>
              <w:rPr>
                <w:rFonts w:ascii="Aptos" w:eastAsia="Aptos" w:hAnsi="Aptos" w:cs="Aptos"/>
                <w:color w:val="000000" w:themeColor="text1"/>
                <w:sz w:val="22"/>
                <w:szCs w:val="22"/>
              </w:rPr>
              <w:t>detention.</w:t>
            </w:r>
          </w:p>
          <w:p w14:paraId="33243556" w14:textId="77777777" w:rsidR="00DD469B" w:rsidRDefault="00A824C9">
            <w:pPr>
              <w:pStyle w:val="ListParagraph"/>
              <w:numPr>
                <w:ilvl w:val="0"/>
                <w:numId w:val="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Racially minoritised people who experience disproportionate rates of detention are well represented in advocacy uptake in the community. </w:t>
            </w:r>
          </w:p>
          <w:p w14:paraId="23A02B5E" w14:textId="77777777" w:rsidR="00DD469B" w:rsidRDefault="00DD469B">
            <w:pPr>
              <w:rPr>
                <w:rFonts w:ascii="Aptos" w:eastAsia="Aptos" w:hAnsi="Aptos" w:cs="Aptos"/>
                <w:color w:val="000000" w:themeColor="text1"/>
                <w:sz w:val="22"/>
                <w:szCs w:val="22"/>
              </w:rPr>
            </w:pPr>
          </w:p>
        </w:tc>
      </w:tr>
      <w:tr w:rsidR="00DD469B" w14:paraId="3839308E" w14:textId="77777777">
        <w:trPr>
          <w:trHeight w:val="300"/>
        </w:trPr>
        <w:tc>
          <w:tcPr>
            <w:tcW w:w="2990" w:type="dxa"/>
            <w:tcBorders>
              <w:left w:val="single" w:sz="6" w:space="0" w:color="auto"/>
            </w:tcBorders>
            <w:tcMar>
              <w:left w:w="60" w:type="dxa"/>
              <w:right w:w="60" w:type="dxa"/>
            </w:tcMar>
          </w:tcPr>
          <w:p w14:paraId="3BB7EDFA" w14:textId="177B5CBF"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1b) People detained </w:t>
            </w:r>
            <w:proofErr w:type="gramStart"/>
            <w:r>
              <w:rPr>
                <w:rFonts w:ascii="Aptos" w:eastAsia="Aptos" w:hAnsi="Aptos" w:cs="Aptos"/>
                <w:color w:val="000000" w:themeColor="text1"/>
                <w:sz w:val="22"/>
                <w:szCs w:val="22"/>
              </w:rPr>
              <w:t>are able to</w:t>
            </w:r>
            <w:proofErr w:type="gramEnd"/>
            <w:r>
              <w:rPr>
                <w:rFonts w:ascii="Aptos" w:eastAsia="Aptos" w:hAnsi="Aptos" w:cs="Aptos"/>
                <w:color w:val="000000" w:themeColor="text1"/>
                <w:sz w:val="22"/>
                <w:szCs w:val="22"/>
              </w:rPr>
              <w:t xml:space="preserve"> see advocates, in person, at the earliest point practicable. Further attempts to engage </w:t>
            </w:r>
            <w:r w:rsidR="00C3028E">
              <w:rPr>
                <w:rFonts w:ascii="Aptos" w:eastAsia="Aptos" w:hAnsi="Aptos" w:cs="Aptos"/>
                <w:color w:val="000000" w:themeColor="text1"/>
                <w:sz w:val="22"/>
                <w:szCs w:val="22"/>
              </w:rPr>
              <w:t xml:space="preserve">through the period of detention. </w:t>
            </w:r>
          </w:p>
          <w:p w14:paraId="1A316F95"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25D8CB39" w14:textId="47666EC7" w:rsidR="00C3028E" w:rsidRDefault="00C3028E">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Opt-o</w:t>
            </w:r>
            <w:r w:rsidR="009F58AE">
              <w:rPr>
                <w:rFonts w:ascii="Aptos" w:eastAsia="Aptos" w:hAnsi="Aptos" w:cs="Aptos"/>
                <w:color w:val="000000" w:themeColor="text1"/>
                <w:sz w:val="22"/>
                <w:szCs w:val="22"/>
              </w:rPr>
              <w:t>u</w:t>
            </w:r>
            <w:r>
              <w:rPr>
                <w:rFonts w:ascii="Aptos" w:eastAsia="Aptos" w:hAnsi="Aptos" w:cs="Aptos"/>
                <w:color w:val="000000" w:themeColor="text1"/>
                <w:sz w:val="22"/>
                <w:szCs w:val="22"/>
              </w:rPr>
              <w:t>t is implemented for all patients.</w:t>
            </w:r>
          </w:p>
          <w:p w14:paraId="75925FD9" w14:textId="58ED6216"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Advocacy organisations carry out an equality impact assessment of their referral process and engagement model</w:t>
            </w:r>
          </w:p>
          <w:p w14:paraId="0B73F4EE" w14:textId="4D5390C5" w:rsidR="00DD469B" w:rsidRDefault="00A824C9">
            <w:pPr>
              <w:pStyle w:val="ListParagraph"/>
              <w:numPr>
                <w:ilvl w:val="0"/>
                <w:numId w:val="3"/>
              </w:numPr>
              <w:spacing w:after="0" w:line="240" w:lineRule="auto"/>
              <w:rPr>
                <w:rFonts w:ascii="Aptos" w:eastAsia="Aptos" w:hAnsi="Aptos" w:cs="Aptos"/>
                <w:color w:val="FF0000"/>
                <w:sz w:val="22"/>
                <w:szCs w:val="22"/>
              </w:rPr>
            </w:pPr>
            <w:r>
              <w:rPr>
                <w:rFonts w:ascii="Aptos" w:eastAsia="Aptos" w:hAnsi="Aptos" w:cs="Aptos"/>
                <w:color w:val="000000" w:themeColor="text1"/>
                <w:sz w:val="22"/>
                <w:szCs w:val="22"/>
              </w:rPr>
              <w:t xml:space="preserve">Advocacy organisations have a minimum weekly presence with sufficient time on the wards to offer support to </w:t>
            </w:r>
            <w:r w:rsidR="009F58AE">
              <w:rPr>
                <w:rFonts w:ascii="Aptos" w:eastAsia="Aptos" w:hAnsi="Aptos" w:cs="Aptos"/>
                <w:color w:val="000000" w:themeColor="text1"/>
                <w:sz w:val="22"/>
                <w:szCs w:val="22"/>
              </w:rPr>
              <w:t>patients</w:t>
            </w:r>
            <w:r>
              <w:rPr>
                <w:rFonts w:ascii="Aptos" w:eastAsia="Aptos" w:hAnsi="Aptos" w:cs="Aptos"/>
                <w:color w:val="000000" w:themeColor="text1"/>
                <w:sz w:val="22"/>
                <w:szCs w:val="22"/>
              </w:rPr>
              <w:t xml:space="preserve">. </w:t>
            </w:r>
            <w:r>
              <w:rPr>
                <w:rFonts w:ascii="Aptos" w:eastAsia="Aptos" w:hAnsi="Aptos" w:cs="Aptos"/>
                <w:color w:val="FF0000"/>
                <w:sz w:val="22"/>
                <w:szCs w:val="22"/>
              </w:rPr>
              <w:t xml:space="preserve"> </w:t>
            </w:r>
          </w:p>
          <w:p w14:paraId="7A8813EB" w14:textId="6F016EF2"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Advocates facilitate quarterly awareness raising sessions with mental health professionals</w:t>
            </w:r>
            <w:r w:rsidR="00C3028E">
              <w:rPr>
                <w:rFonts w:ascii="Aptos" w:eastAsia="Aptos" w:hAnsi="Aptos" w:cs="Aptos"/>
                <w:color w:val="000000" w:themeColor="text1"/>
                <w:sz w:val="22"/>
                <w:szCs w:val="22"/>
              </w:rPr>
              <w:t xml:space="preserve"> in inpatient settings</w:t>
            </w:r>
            <w:r>
              <w:rPr>
                <w:rFonts w:ascii="Aptos" w:eastAsia="Aptos" w:hAnsi="Aptos" w:cs="Aptos"/>
                <w:color w:val="000000" w:themeColor="text1"/>
                <w:sz w:val="22"/>
                <w:szCs w:val="22"/>
              </w:rPr>
              <w:t>.</w:t>
            </w:r>
          </w:p>
          <w:p w14:paraId="517106D2" w14:textId="77777777"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Mental health professionals actively promote access to advocacy.</w:t>
            </w:r>
          </w:p>
          <w:p w14:paraId="6CB9B5B1" w14:textId="77777777"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Advocates facilitate access to interpreters for people for whom English is not their first language, or signers for people who are Deaf, where services are not directly provided by people from those communities.</w:t>
            </w:r>
          </w:p>
          <w:p w14:paraId="564F19F5" w14:textId="77777777" w:rsidR="00DD469B" w:rsidRDefault="00A824C9">
            <w:pPr>
              <w:pStyle w:val="ListParagraph"/>
              <w:numPr>
                <w:ilvl w:val="0"/>
                <w:numId w:val="4"/>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Outreach to family members (e.g. during visiting hours). </w:t>
            </w:r>
          </w:p>
        </w:tc>
        <w:tc>
          <w:tcPr>
            <w:tcW w:w="2990" w:type="dxa"/>
            <w:tcBorders>
              <w:right w:val="single" w:sz="6" w:space="0" w:color="auto"/>
            </w:tcBorders>
            <w:tcMar>
              <w:left w:w="60" w:type="dxa"/>
              <w:right w:w="60" w:type="dxa"/>
            </w:tcMar>
          </w:tcPr>
          <w:p w14:paraId="33A3C025" w14:textId="749DCE93" w:rsidR="00DD469B" w:rsidRDefault="00C401FF">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P</w:t>
            </w:r>
            <w:r w:rsidR="009F58AE">
              <w:rPr>
                <w:rFonts w:ascii="Aptos" w:eastAsia="Aptos" w:hAnsi="Aptos" w:cs="Aptos"/>
                <w:color w:val="000000" w:themeColor="text1"/>
                <w:sz w:val="22"/>
                <w:szCs w:val="22"/>
              </w:rPr>
              <w:t>atients</w:t>
            </w:r>
            <w:r w:rsidR="00A824C9">
              <w:rPr>
                <w:rFonts w:ascii="Aptos" w:eastAsia="Aptos" w:hAnsi="Aptos" w:cs="Aptos"/>
                <w:color w:val="000000" w:themeColor="text1"/>
                <w:sz w:val="22"/>
                <w:szCs w:val="22"/>
              </w:rPr>
              <w:t xml:space="preserve"> see an advocate within 3 days of detention. </w:t>
            </w:r>
          </w:p>
          <w:p w14:paraId="2C0F13C0" w14:textId="77777777"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The proportion of referrals brokered by mental health professionals is comparable to the proportionate for each ethnic group on ward. </w:t>
            </w:r>
          </w:p>
          <w:p w14:paraId="089A2FFE" w14:textId="77777777"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Regular, 6 monthly, monitoring indicates people using advocacy are satisfied with the time they wait to see an advocate.  </w:t>
            </w:r>
          </w:p>
          <w:p w14:paraId="1E2FE690" w14:textId="77777777" w:rsidR="00DD469B" w:rsidRDefault="00A824C9">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Increase in number of requests for interpretation service.</w:t>
            </w:r>
          </w:p>
          <w:p w14:paraId="2EACDA23" w14:textId="77777777" w:rsidR="00DD469B" w:rsidRDefault="00DD469B">
            <w:pPr>
              <w:rPr>
                <w:rFonts w:ascii="Aptos" w:eastAsia="Aptos" w:hAnsi="Aptos" w:cs="Aptos"/>
                <w:color w:val="000000" w:themeColor="text1"/>
                <w:sz w:val="22"/>
                <w:szCs w:val="22"/>
              </w:rPr>
            </w:pPr>
          </w:p>
        </w:tc>
      </w:tr>
      <w:tr w:rsidR="00DD469B" w14:paraId="3A263812" w14:textId="77777777">
        <w:trPr>
          <w:trHeight w:val="300"/>
        </w:trPr>
        <w:tc>
          <w:tcPr>
            <w:tcW w:w="2990" w:type="dxa"/>
            <w:tcBorders>
              <w:left w:val="single" w:sz="6" w:space="0" w:color="auto"/>
            </w:tcBorders>
            <w:tcMar>
              <w:left w:w="60" w:type="dxa"/>
              <w:right w:w="60" w:type="dxa"/>
            </w:tcMar>
          </w:tcPr>
          <w:p w14:paraId="05088823" w14:textId="77777777" w:rsidR="00DD469B" w:rsidRDefault="00A824C9">
            <w:pPr>
              <w:rPr>
                <w:rFonts w:ascii="Aptos" w:eastAsia="Aptos" w:hAnsi="Aptos" w:cs="Aptos"/>
                <w:color w:val="000000" w:themeColor="text1"/>
                <w:sz w:val="22"/>
                <w:szCs w:val="22"/>
              </w:rPr>
            </w:pPr>
            <w:r>
              <w:rPr>
                <w:rStyle w:val="normaltextrun"/>
                <w:rFonts w:ascii="Aptos" w:eastAsia="Aptos" w:hAnsi="Aptos" w:cs="Aptos"/>
                <w:color w:val="000000" w:themeColor="text1"/>
                <w:sz w:val="22"/>
                <w:szCs w:val="22"/>
              </w:rPr>
              <w:t xml:space="preserve">1c) </w:t>
            </w:r>
            <w:r>
              <w:rPr>
                <w:rFonts w:ascii="Aptos" w:eastAsia="Aptos" w:hAnsi="Aptos" w:cs="Aptos"/>
                <w:color w:val="000000" w:themeColor="text1"/>
                <w:sz w:val="22"/>
                <w:szCs w:val="22"/>
              </w:rPr>
              <w:t xml:space="preserve">Racially minoritised people receive advocacy support when conditionally </w:t>
            </w:r>
            <w:r>
              <w:rPr>
                <w:rFonts w:ascii="Aptos" w:eastAsia="Aptos" w:hAnsi="Aptos" w:cs="Aptos"/>
                <w:color w:val="000000" w:themeColor="text1"/>
                <w:sz w:val="22"/>
                <w:szCs w:val="22"/>
              </w:rPr>
              <w:lastRenderedPageBreak/>
              <w:t>discharged from mental health services.</w:t>
            </w:r>
          </w:p>
          <w:p w14:paraId="335B644F"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5423EA03" w14:textId="35974DA6" w:rsidR="00DD469B" w:rsidRDefault="00A824C9">
            <w:pPr>
              <w:pStyle w:val="ListParagraph"/>
              <w:numPr>
                <w:ilvl w:val="0"/>
                <w:numId w:val="5"/>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 xml:space="preserve">Engagement work is carried out with mental health professionals to ensure advocates are </w:t>
            </w:r>
            <w:r>
              <w:rPr>
                <w:rFonts w:ascii="Aptos" w:eastAsia="Aptos" w:hAnsi="Aptos" w:cs="Aptos"/>
                <w:color w:val="000000" w:themeColor="text1"/>
                <w:sz w:val="22"/>
                <w:szCs w:val="22"/>
              </w:rPr>
              <w:lastRenderedPageBreak/>
              <w:t xml:space="preserve">aware when </w:t>
            </w:r>
            <w:r w:rsidR="009F58AE">
              <w:rPr>
                <w:rFonts w:ascii="Aptos" w:eastAsia="Aptos" w:hAnsi="Aptos" w:cs="Aptos"/>
                <w:color w:val="000000" w:themeColor="text1"/>
                <w:sz w:val="22"/>
                <w:szCs w:val="22"/>
              </w:rPr>
              <w:t>patients</w:t>
            </w:r>
            <w:r>
              <w:rPr>
                <w:rFonts w:ascii="Aptos" w:eastAsia="Aptos" w:hAnsi="Aptos" w:cs="Aptos"/>
                <w:color w:val="000000" w:themeColor="text1"/>
                <w:sz w:val="22"/>
                <w:szCs w:val="22"/>
              </w:rPr>
              <w:t xml:space="preserve"> are being conditionally discharged. </w:t>
            </w:r>
          </w:p>
          <w:p w14:paraId="00D56197" w14:textId="30A85D35" w:rsidR="00DD469B" w:rsidRDefault="00C401FF">
            <w:pPr>
              <w:pStyle w:val="ListParagraph"/>
              <w:numPr>
                <w:ilvl w:val="0"/>
                <w:numId w:val="5"/>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P</w:t>
            </w:r>
            <w:r w:rsidR="009F58AE">
              <w:rPr>
                <w:rFonts w:ascii="Aptos" w:eastAsia="Aptos" w:hAnsi="Aptos" w:cs="Aptos"/>
                <w:color w:val="000000" w:themeColor="text1"/>
                <w:sz w:val="22"/>
                <w:szCs w:val="22"/>
              </w:rPr>
              <w:t>atients</w:t>
            </w:r>
            <w:r w:rsidR="00A824C9">
              <w:rPr>
                <w:rFonts w:ascii="Aptos" w:eastAsia="Aptos" w:hAnsi="Aptos" w:cs="Aptos"/>
                <w:color w:val="000000" w:themeColor="text1"/>
                <w:sz w:val="22"/>
                <w:szCs w:val="22"/>
              </w:rPr>
              <w:t xml:space="preserve"> are made aware of their right to advocacy support prior to being conditionally discharged.</w:t>
            </w:r>
          </w:p>
          <w:p w14:paraId="150D91EF" w14:textId="00D65AE0" w:rsidR="00DD469B" w:rsidRDefault="00A824C9">
            <w:pPr>
              <w:pStyle w:val="ListParagraph"/>
              <w:numPr>
                <w:ilvl w:val="0"/>
                <w:numId w:val="5"/>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Engagement work is carried out with CMHT and Mental Health Administrators to ensure </w:t>
            </w:r>
            <w:r w:rsidR="00C401FF">
              <w:rPr>
                <w:rFonts w:ascii="Aptos" w:eastAsia="Aptos" w:hAnsi="Aptos" w:cs="Aptos"/>
                <w:color w:val="000000" w:themeColor="text1"/>
                <w:sz w:val="22"/>
                <w:szCs w:val="22"/>
              </w:rPr>
              <w:t>patient</w:t>
            </w:r>
            <w:r w:rsidR="009F58AE">
              <w:rPr>
                <w:rFonts w:ascii="Aptos" w:eastAsia="Aptos" w:hAnsi="Aptos" w:cs="Aptos"/>
                <w:color w:val="000000" w:themeColor="text1"/>
                <w:sz w:val="22"/>
                <w:szCs w:val="22"/>
              </w:rPr>
              <w:t xml:space="preserve">s </w:t>
            </w:r>
            <w:r>
              <w:rPr>
                <w:rFonts w:ascii="Aptos" w:eastAsia="Aptos" w:hAnsi="Aptos" w:cs="Aptos"/>
                <w:color w:val="000000" w:themeColor="text1"/>
                <w:sz w:val="22"/>
                <w:szCs w:val="22"/>
              </w:rPr>
              <w:t>being or already conditionally discharged are made aware of their right to advocacy support.</w:t>
            </w:r>
          </w:p>
        </w:tc>
        <w:tc>
          <w:tcPr>
            <w:tcW w:w="2990" w:type="dxa"/>
            <w:tcBorders>
              <w:right w:val="single" w:sz="6" w:space="0" w:color="auto"/>
            </w:tcBorders>
            <w:tcMar>
              <w:left w:w="60" w:type="dxa"/>
              <w:right w:w="60" w:type="dxa"/>
            </w:tcMar>
          </w:tcPr>
          <w:p w14:paraId="44A43A84" w14:textId="77777777" w:rsidR="00DD469B" w:rsidRDefault="00A824C9">
            <w:pPr>
              <w:pStyle w:val="ListParagraph"/>
              <w:numPr>
                <w:ilvl w:val="0"/>
                <w:numId w:val="5"/>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 xml:space="preserve">Increase in the number of racially minoritised people receiving advocacy support when </w:t>
            </w:r>
            <w:r>
              <w:rPr>
                <w:rFonts w:ascii="Aptos" w:eastAsia="Aptos" w:hAnsi="Aptos" w:cs="Aptos"/>
                <w:color w:val="000000" w:themeColor="text1"/>
                <w:sz w:val="22"/>
                <w:szCs w:val="22"/>
              </w:rPr>
              <w:lastRenderedPageBreak/>
              <w:t>conditionally discharged.</w:t>
            </w:r>
          </w:p>
          <w:p w14:paraId="48B27620" w14:textId="77777777" w:rsidR="00DD469B" w:rsidRDefault="00A824C9">
            <w:pPr>
              <w:pStyle w:val="ListParagraph"/>
              <w:numPr>
                <w:ilvl w:val="0"/>
                <w:numId w:val="5"/>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The proportion of ethnic groups conditionally discharged is comparable to the proportionate receiving advocacy when on conditional discharge. </w:t>
            </w:r>
          </w:p>
          <w:p w14:paraId="05044AF7" w14:textId="65D05204" w:rsidR="00DD469B" w:rsidRDefault="00A824C9">
            <w:pPr>
              <w:pStyle w:val="ListParagraph"/>
              <w:numPr>
                <w:ilvl w:val="0"/>
                <w:numId w:val="5"/>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Local (patient / discharge) protocol or operational policy prompts mental health professional to inform CAA of conditional discharge</w:t>
            </w:r>
          </w:p>
          <w:p w14:paraId="7E6375FD" w14:textId="77777777" w:rsidR="00DD469B" w:rsidRDefault="00DD469B">
            <w:pPr>
              <w:pStyle w:val="ListParagraph"/>
              <w:spacing w:after="0" w:line="240" w:lineRule="auto"/>
              <w:rPr>
                <w:rFonts w:ascii="Aptos" w:eastAsia="Aptos" w:hAnsi="Aptos" w:cs="Aptos"/>
                <w:color w:val="000000" w:themeColor="text1"/>
                <w:sz w:val="22"/>
                <w:szCs w:val="22"/>
              </w:rPr>
            </w:pPr>
          </w:p>
          <w:p w14:paraId="6B65C43D" w14:textId="77777777" w:rsidR="00DD469B" w:rsidRDefault="00DD469B">
            <w:pPr>
              <w:rPr>
                <w:rFonts w:ascii="Aptos" w:eastAsia="Aptos" w:hAnsi="Aptos" w:cs="Aptos"/>
                <w:color w:val="000000" w:themeColor="text1"/>
                <w:sz w:val="22"/>
                <w:szCs w:val="22"/>
              </w:rPr>
            </w:pPr>
          </w:p>
        </w:tc>
      </w:tr>
      <w:tr w:rsidR="00DD469B" w14:paraId="2875FE2E" w14:textId="77777777">
        <w:trPr>
          <w:trHeight w:val="300"/>
        </w:trPr>
        <w:tc>
          <w:tcPr>
            <w:tcW w:w="8970" w:type="dxa"/>
            <w:gridSpan w:val="3"/>
            <w:tcBorders>
              <w:left w:val="single" w:sz="6" w:space="0" w:color="auto"/>
              <w:right w:val="single" w:sz="6" w:space="0" w:color="auto"/>
            </w:tcBorders>
            <w:shd w:val="clear" w:color="auto" w:fill="FFC000"/>
            <w:tcMar>
              <w:left w:w="60" w:type="dxa"/>
              <w:right w:w="60" w:type="dxa"/>
            </w:tcMar>
          </w:tcPr>
          <w:p w14:paraId="23CB6A6E" w14:textId="7716AFD6" w:rsidR="00DD469B" w:rsidRDefault="00A824C9">
            <w:pPr>
              <w:rPr>
                <w:rFonts w:ascii="Aptos" w:eastAsia="Aptos" w:hAnsi="Aptos" w:cs="Aptos"/>
                <w:color w:val="000000" w:themeColor="text1"/>
                <w:sz w:val="22"/>
                <w:szCs w:val="22"/>
              </w:rPr>
            </w:pPr>
            <w:r>
              <w:rPr>
                <w:rFonts w:ascii="Aptos" w:eastAsia="Aptos" w:hAnsi="Aptos" w:cs="Aptos"/>
                <w:b/>
                <w:bCs/>
                <w:color w:val="000000" w:themeColor="text1"/>
                <w:sz w:val="22"/>
                <w:szCs w:val="22"/>
              </w:rPr>
              <w:lastRenderedPageBreak/>
              <w:t>2. Improv</w:t>
            </w:r>
            <w:r w:rsidR="003C22EF">
              <w:rPr>
                <w:rFonts w:ascii="Aptos" w:eastAsia="Aptos" w:hAnsi="Aptos" w:cs="Aptos"/>
                <w:b/>
                <w:bCs/>
                <w:color w:val="000000" w:themeColor="text1"/>
                <w:sz w:val="22"/>
                <w:szCs w:val="22"/>
              </w:rPr>
              <w:t>ed</w:t>
            </w:r>
            <w:r>
              <w:rPr>
                <w:rFonts w:ascii="Aptos" w:eastAsia="Aptos" w:hAnsi="Aptos" w:cs="Aptos"/>
                <w:b/>
                <w:bCs/>
                <w:color w:val="000000" w:themeColor="text1"/>
                <w:sz w:val="22"/>
                <w:szCs w:val="22"/>
              </w:rPr>
              <w:t xml:space="preserve"> Experience – </w:t>
            </w:r>
            <w:r w:rsidR="009F58AE">
              <w:rPr>
                <w:rFonts w:ascii="Aptos" w:eastAsia="Aptos" w:hAnsi="Aptos" w:cs="Aptos"/>
                <w:b/>
                <w:bCs/>
                <w:color w:val="000000" w:themeColor="text1"/>
                <w:sz w:val="22"/>
                <w:szCs w:val="22"/>
              </w:rPr>
              <w:t>Patient</w:t>
            </w:r>
            <w:r w:rsidR="00C401FF">
              <w:rPr>
                <w:rFonts w:ascii="Aptos" w:eastAsia="Aptos" w:hAnsi="Aptos" w:cs="Aptos"/>
                <w:b/>
                <w:bCs/>
                <w:color w:val="000000" w:themeColor="text1"/>
                <w:sz w:val="22"/>
                <w:szCs w:val="22"/>
              </w:rPr>
              <w:t xml:space="preserve"> </w:t>
            </w:r>
            <w:r>
              <w:rPr>
                <w:rFonts w:ascii="Aptos" w:eastAsia="Aptos" w:hAnsi="Aptos" w:cs="Aptos"/>
                <w:b/>
                <w:bCs/>
                <w:color w:val="000000" w:themeColor="text1"/>
                <w:sz w:val="22"/>
                <w:szCs w:val="22"/>
              </w:rPr>
              <w:t>voice and upholding rights</w:t>
            </w:r>
          </w:p>
          <w:p w14:paraId="4DBEB6C2" w14:textId="77777777" w:rsidR="00DD469B" w:rsidRDefault="00DD469B">
            <w:pPr>
              <w:rPr>
                <w:rFonts w:ascii="Aptos" w:eastAsia="Aptos" w:hAnsi="Aptos" w:cs="Aptos"/>
                <w:color w:val="000000" w:themeColor="text1"/>
                <w:sz w:val="22"/>
                <w:szCs w:val="22"/>
              </w:rPr>
            </w:pPr>
          </w:p>
        </w:tc>
      </w:tr>
      <w:tr w:rsidR="00DD469B" w14:paraId="7FB1080C" w14:textId="77777777">
        <w:trPr>
          <w:trHeight w:val="300"/>
        </w:trPr>
        <w:tc>
          <w:tcPr>
            <w:tcW w:w="2990" w:type="dxa"/>
            <w:tcBorders>
              <w:left w:val="single" w:sz="6" w:space="0" w:color="auto"/>
              <w:right w:val="single" w:sz="6" w:space="0" w:color="auto"/>
            </w:tcBorders>
            <w:tcMar>
              <w:left w:w="60" w:type="dxa"/>
              <w:right w:w="60" w:type="dxa"/>
            </w:tcMar>
          </w:tcPr>
          <w:p w14:paraId="51A4EC0C" w14:textId="4E50B87C" w:rsidR="00DD469B" w:rsidRDefault="00D22D67">
            <w:pPr>
              <w:rPr>
                <w:rFonts w:ascii="Aptos" w:eastAsia="Aptos" w:hAnsi="Aptos" w:cs="Aptos"/>
                <w:color w:val="000000" w:themeColor="text1"/>
                <w:sz w:val="22"/>
                <w:szCs w:val="22"/>
              </w:rPr>
            </w:pPr>
            <w:r>
              <w:rPr>
                <w:rFonts w:ascii="Aptos" w:eastAsia="Aptos" w:hAnsi="Aptos" w:cs="Aptos"/>
                <w:b/>
                <w:bCs/>
                <w:color w:val="000000" w:themeColor="text1"/>
                <w:sz w:val="22"/>
                <w:szCs w:val="22"/>
              </w:rPr>
              <w:t>Quality standard</w:t>
            </w:r>
          </w:p>
        </w:tc>
        <w:tc>
          <w:tcPr>
            <w:tcW w:w="2990" w:type="dxa"/>
            <w:tcMar>
              <w:left w:w="60" w:type="dxa"/>
              <w:right w:w="60" w:type="dxa"/>
            </w:tcMar>
          </w:tcPr>
          <w:p w14:paraId="3F00712F" w14:textId="77777777" w:rsidR="00DD469B" w:rsidRDefault="00A824C9">
            <w:pPr>
              <w:rPr>
                <w:rFonts w:ascii="Aptos" w:eastAsia="Aptos" w:hAnsi="Aptos" w:cs="Aptos"/>
                <w:color w:val="000000" w:themeColor="text1"/>
                <w:sz w:val="22"/>
                <w:szCs w:val="22"/>
              </w:rPr>
            </w:pPr>
            <w:r>
              <w:rPr>
                <w:rFonts w:ascii="Aptos" w:eastAsia="Aptos" w:hAnsi="Aptos" w:cs="Aptos"/>
                <w:b/>
                <w:bCs/>
                <w:color w:val="000000" w:themeColor="text1"/>
                <w:sz w:val="22"/>
                <w:szCs w:val="22"/>
              </w:rPr>
              <w:t>Example outputs</w:t>
            </w:r>
          </w:p>
        </w:tc>
        <w:tc>
          <w:tcPr>
            <w:tcW w:w="2990" w:type="dxa"/>
            <w:tcBorders>
              <w:right w:val="single" w:sz="6" w:space="0" w:color="auto"/>
            </w:tcBorders>
            <w:tcMar>
              <w:left w:w="60" w:type="dxa"/>
              <w:right w:w="60" w:type="dxa"/>
            </w:tcMar>
          </w:tcPr>
          <w:p w14:paraId="0F02F656" w14:textId="77777777" w:rsidR="00DD469B" w:rsidRDefault="00A824C9">
            <w:pPr>
              <w:rPr>
                <w:rFonts w:ascii="Aptos" w:eastAsia="Aptos" w:hAnsi="Aptos" w:cs="Aptos"/>
                <w:color w:val="000000" w:themeColor="text1"/>
                <w:sz w:val="22"/>
                <w:szCs w:val="22"/>
              </w:rPr>
            </w:pPr>
            <w:r>
              <w:rPr>
                <w:rFonts w:ascii="Aptos" w:eastAsia="Aptos" w:hAnsi="Aptos" w:cs="Aptos"/>
                <w:b/>
                <w:bCs/>
                <w:color w:val="000000" w:themeColor="text1"/>
                <w:sz w:val="22"/>
                <w:szCs w:val="22"/>
              </w:rPr>
              <w:t>Example success indicators</w:t>
            </w:r>
          </w:p>
        </w:tc>
      </w:tr>
      <w:tr w:rsidR="00DD469B" w14:paraId="423F252D" w14:textId="77777777">
        <w:trPr>
          <w:trHeight w:val="300"/>
        </w:trPr>
        <w:tc>
          <w:tcPr>
            <w:tcW w:w="2990" w:type="dxa"/>
            <w:tcBorders>
              <w:left w:val="single" w:sz="6" w:space="0" w:color="auto"/>
            </w:tcBorders>
            <w:tcMar>
              <w:left w:w="60" w:type="dxa"/>
              <w:right w:w="60" w:type="dxa"/>
            </w:tcMar>
          </w:tcPr>
          <w:p w14:paraId="458EA726" w14:textId="497546EB"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2a) Racially minoritised </w:t>
            </w:r>
            <w:r w:rsidR="009F58AE">
              <w:rPr>
                <w:rFonts w:ascii="Aptos" w:eastAsia="Aptos" w:hAnsi="Aptos" w:cs="Aptos"/>
                <w:color w:val="000000" w:themeColor="text1"/>
                <w:sz w:val="22"/>
                <w:szCs w:val="22"/>
              </w:rPr>
              <w:t>patient</w:t>
            </w:r>
            <w:r>
              <w:rPr>
                <w:rFonts w:ascii="Aptos" w:eastAsia="Aptos" w:hAnsi="Aptos" w:cs="Aptos"/>
                <w:color w:val="000000" w:themeColor="text1"/>
                <w:sz w:val="22"/>
                <w:szCs w:val="22"/>
              </w:rPr>
              <w:t>s feel their cultural and spiritual needs have been addressed.</w:t>
            </w:r>
          </w:p>
        </w:tc>
        <w:tc>
          <w:tcPr>
            <w:tcW w:w="2990" w:type="dxa"/>
            <w:tcMar>
              <w:left w:w="60" w:type="dxa"/>
              <w:right w:w="60" w:type="dxa"/>
            </w:tcMar>
          </w:tcPr>
          <w:p w14:paraId="0CAF4123" w14:textId="6791F69F" w:rsidR="00DD469B" w:rsidRDefault="00A824C9">
            <w:pPr>
              <w:pStyle w:val="ListParagraph"/>
              <w:numPr>
                <w:ilvl w:val="0"/>
                <w:numId w:val="6"/>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Advocates provide sufficient time to explore the needs of </w:t>
            </w:r>
            <w:r w:rsidR="009F58AE">
              <w:rPr>
                <w:rFonts w:ascii="Aptos" w:eastAsia="Aptos" w:hAnsi="Aptos" w:cs="Aptos"/>
                <w:color w:val="000000" w:themeColor="text1"/>
                <w:sz w:val="22"/>
                <w:szCs w:val="22"/>
              </w:rPr>
              <w:t>patient</w:t>
            </w:r>
            <w:r>
              <w:rPr>
                <w:rFonts w:ascii="Aptos" w:eastAsia="Aptos" w:hAnsi="Aptos" w:cs="Aptos"/>
                <w:color w:val="000000" w:themeColor="text1"/>
                <w:sz w:val="22"/>
                <w:szCs w:val="22"/>
              </w:rPr>
              <w:t xml:space="preserve">s. </w:t>
            </w:r>
          </w:p>
          <w:p w14:paraId="735B2E1D" w14:textId="77777777" w:rsidR="00DD469B" w:rsidRDefault="00A824C9">
            <w:pPr>
              <w:pStyle w:val="ListParagraph"/>
              <w:numPr>
                <w:ilvl w:val="0"/>
                <w:numId w:val="6"/>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Advocates have taken action to fulfil AP’s cultural and spiritual needs (e.g. request to see Imam)</w:t>
            </w:r>
          </w:p>
          <w:p w14:paraId="0C051137" w14:textId="77777777" w:rsidR="00DD469B" w:rsidRDefault="00DD469B">
            <w:pPr>
              <w:rPr>
                <w:rFonts w:ascii="Aptos" w:eastAsia="Aptos" w:hAnsi="Aptos" w:cs="Aptos"/>
                <w:color w:val="000000" w:themeColor="text1"/>
                <w:sz w:val="22"/>
                <w:szCs w:val="22"/>
              </w:rPr>
            </w:pPr>
          </w:p>
        </w:tc>
        <w:tc>
          <w:tcPr>
            <w:tcW w:w="2990" w:type="dxa"/>
            <w:tcBorders>
              <w:right w:val="single" w:sz="6" w:space="0" w:color="auto"/>
            </w:tcBorders>
            <w:tcMar>
              <w:left w:w="60" w:type="dxa"/>
              <w:right w:w="60" w:type="dxa"/>
            </w:tcMar>
          </w:tcPr>
          <w:p w14:paraId="6ED49A90" w14:textId="77777777" w:rsidR="00DD469B" w:rsidRDefault="00A824C9">
            <w:pPr>
              <w:pStyle w:val="ListParagraph"/>
              <w:numPr>
                <w:ilvl w:val="0"/>
                <w:numId w:val="6"/>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AP’s feel satisfied their experiences of racism and mental health stigma have been validated by the advocate.</w:t>
            </w:r>
          </w:p>
          <w:p w14:paraId="39721611" w14:textId="77777777" w:rsidR="00DD469B" w:rsidRDefault="00A824C9">
            <w:pPr>
              <w:pStyle w:val="ListParagraph"/>
              <w:numPr>
                <w:ilvl w:val="0"/>
                <w:numId w:val="6"/>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AP’s feel satisfied they have had opportunities for meaningful conversation to share their cultural and spiritual needs with advocates. </w:t>
            </w:r>
          </w:p>
          <w:p w14:paraId="7F43E73A" w14:textId="77777777" w:rsidR="00C3028E" w:rsidRDefault="00A824C9" w:rsidP="00C3028E">
            <w:pPr>
              <w:pStyle w:val="ListParagraph"/>
              <w:numPr>
                <w:ilvl w:val="0"/>
                <w:numId w:val="6"/>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AP’s feel satisfied their cultural needs have been validated.</w:t>
            </w:r>
          </w:p>
          <w:p w14:paraId="00496B39" w14:textId="1A59BA11" w:rsidR="00DD469B" w:rsidRPr="00C3028E" w:rsidRDefault="00A824C9" w:rsidP="00C3028E">
            <w:pPr>
              <w:pStyle w:val="ListParagraph"/>
              <w:numPr>
                <w:ilvl w:val="0"/>
                <w:numId w:val="6"/>
              </w:numPr>
              <w:spacing w:after="0" w:line="240" w:lineRule="auto"/>
              <w:rPr>
                <w:rFonts w:ascii="Aptos" w:eastAsia="Aptos" w:hAnsi="Aptos" w:cs="Aptos"/>
                <w:color w:val="000000" w:themeColor="text1"/>
                <w:sz w:val="22"/>
                <w:szCs w:val="22"/>
              </w:rPr>
            </w:pPr>
            <w:r w:rsidRPr="00C3028E">
              <w:rPr>
                <w:rFonts w:ascii="Aptos" w:eastAsia="Aptos" w:hAnsi="Aptos" w:cs="Aptos"/>
                <w:color w:val="000000" w:themeColor="text1"/>
                <w:sz w:val="22"/>
                <w:szCs w:val="22"/>
              </w:rPr>
              <w:t>AP’s feel satisfied their cultural needs have been sufficiently acted upon.</w:t>
            </w:r>
          </w:p>
          <w:p w14:paraId="746783FB" w14:textId="430A0E92" w:rsidR="00DD469B" w:rsidRPr="00C3028E" w:rsidRDefault="00A824C9">
            <w:pPr>
              <w:pStyle w:val="ListParagraph"/>
              <w:numPr>
                <w:ilvl w:val="0"/>
                <w:numId w:val="6"/>
              </w:numPr>
              <w:spacing w:after="0" w:line="240" w:lineRule="auto"/>
              <w:rPr>
                <w:rFonts w:ascii="Aptos" w:eastAsia="Aptos" w:hAnsi="Aptos" w:cs="Aptos"/>
                <w:color w:val="000000" w:themeColor="text1"/>
                <w:sz w:val="22"/>
                <w:szCs w:val="22"/>
              </w:rPr>
            </w:pPr>
            <w:r w:rsidRPr="00A23E72">
              <w:rPr>
                <w:rFonts w:ascii="Aptos" w:eastAsia="Aptos" w:hAnsi="Aptos" w:cs="Aptos"/>
                <w:color w:val="000000" w:themeColor="text1"/>
                <w:sz w:val="22"/>
                <w:szCs w:val="22"/>
              </w:rPr>
              <w:t>Systematic collection of AP feedback about their experience of CAA</w:t>
            </w:r>
            <w:r w:rsidR="009F58AE">
              <w:rPr>
                <w:rFonts w:ascii="Aptos" w:eastAsia="Aptos" w:hAnsi="Aptos" w:cs="Aptos"/>
                <w:color w:val="000000" w:themeColor="text1"/>
                <w:sz w:val="22"/>
                <w:szCs w:val="22"/>
              </w:rPr>
              <w:t xml:space="preserve"> (covering 2a-e)</w:t>
            </w:r>
            <w:r w:rsidR="00764AAA" w:rsidRPr="00A23E72">
              <w:rPr>
                <w:rFonts w:ascii="Aptos" w:eastAsia="Aptos" w:hAnsi="Aptos" w:cs="Aptos"/>
                <w:color w:val="000000" w:themeColor="text1"/>
                <w:sz w:val="22"/>
                <w:szCs w:val="22"/>
              </w:rPr>
              <w:t>.</w:t>
            </w:r>
          </w:p>
        </w:tc>
      </w:tr>
      <w:tr w:rsidR="00DD469B" w14:paraId="4DC4C578" w14:textId="77777777">
        <w:trPr>
          <w:trHeight w:val="300"/>
        </w:trPr>
        <w:tc>
          <w:tcPr>
            <w:tcW w:w="2990" w:type="dxa"/>
            <w:tcBorders>
              <w:left w:val="single" w:sz="6" w:space="0" w:color="auto"/>
            </w:tcBorders>
            <w:tcMar>
              <w:left w:w="60" w:type="dxa"/>
              <w:right w:w="60" w:type="dxa"/>
            </w:tcMar>
          </w:tcPr>
          <w:p w14:paraId="0B8205E5" w14:textId="77777777"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2b) Racially minoritised people are satisfied they have been supported to self-advocate.</w:t>
            </w:r>
          </w:p>
          <w:p w14:paraId="1628CDCD"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366C0060" w14:textId="39FED4B1" w:rsidR="00DD469B" w:rsidRDefault="00A824C9">
            <w:pPr>
              <w:pStyle w:val="ListParagraph"/>
              <w:numPr>
                <w:ilvl w:val="0"/>
                <w:numId w:val="7"/>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Advocates support AP’s involvement in spaces to facilitate self-advocacy (e.g. group advocacy, </w:t>
            </w:r>
            <w:r w:rsidR="009F58AE">
              <w:rPr>
                <w:rFonts w:ascii="Aptos" w:eastAsia="Aptos" w:hAnsi="Aptos" w:cs="Aptos"/>
                <w:color w:val="000000" w:themeColor="text1"/>
                <w:sz w:val="22"/>
                <w:szCs w:val="22"/>
              </w:rPr>
              <w:t xml:space="preserve">patient </w:t>
            </w:r>
            <w:r>
              <w:rPr>
                <w:rFonts w:ascii="Aptos" w:eastAsia="Aptos" w:hAnsi="Aptos" w:cs="Aptos"/>
                <w:color w:val="000000" w:themeColor="text1"/>
                <w:sz w:val="22"/>
                <w:szCs w:val="22"/>
              </w:rPr>
              <w:t>groups).</w:t>
            </w:r>
          </w:p>
          <w:p w14:paraId="6857209D" w14:textId="77777777" w:rsidR="00DD469B" w:rsidRDefault="00A824C9">
            <w:pPr>
              <w:pStyle w:val="ListParagraph"/>
              <w:numPr>
                <w:ilvl w:val="0"/>
                <w:numId w:val="7"/>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Advocates make APs aware of their rights in relation to Mental Health Act detention (including rights under Equality and Human Rights law).</w:t>
            </w:r>
          </w:p>
          <w:p w14:paraId="718B1AA6" w14:textId="77777777" w:rsidR="00DD469B" w:rsidRDefault="00DD469B">
            <w:pPr>
              <w:rPr>
                <w:rFonts w:ascii="Aptos" w:eastAsia="Aptos" w:hAnsi="Aptos" w:cs="Aptos"/>
                <w:color w:val="000000" w:themeColor="text1"/>
                <w:sz w:val="22"/>
                <w:szCs w:val="22"/>
              </w:rPr>
            </w:pPr>
          </w:p>
        </w:tc>
        <w:tc>
          <w:tcPr>
            <w:tcW w:w="2990" w:type="dxa"/>
            <w:tcBorders>
              <w:right w:val="single" w:sz="6" w:space="0" w:color="auto"/>
            </w:tcBorders>
            <w:tcMar>
              <w:left w:w="60" w:type="dxa"/>
              <w:right w:w="60" w:type="dxa"/>
            </w:tcMar>
          </w:tcPr>
          <w:p w14:paraId="38C91888" w14:textId="77777777" w:rsidR="00DD469B" w:rsidRDefault="00A824C9">
            <w:pPr>
              <w:pStyle w:val="ListParagraph"/>
              <w:numPr>
                <w:ilvl w:val="0"/>
                <w:numId w:val="7"/>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APs express they have had opportunities and support to self-advocate.</w:t>
            </w:r>
          </w:p>
          <w:p w14:paraId="515BE749" w14:textId="77777777" w:rsidR="00DD469B" w:rsidRDefault="00A824C9">
            <w:pPr>
              <w:pStyle w:val="ListParagraph"/>
              <w:numPr>
                <w:ilvl w:val="0"/>
                <w:numId w:val="7"/>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APs feel satisfied they have been made aware of their rights in relation to Mental Health Act detention (including rights under Equality and Human Rights law).</w:t>
            </w:r>
          </w:p>
        </w:tc>
      </w:tr>
      <w:tr w:rsidR="00DD469B" w14:paraId="76E3EA73" w14:textId="77777777">
        <w:trPr>
          <w:trHeight w:val="300"/>
        </w:trPr>
        <w:tc>
          <w:tcPr>
            <w:tcW w:w="2990" w:type="dxa"/>
            <w:tcBorders>
              <w:left w:val="single" w:sz="6" w:space="0" w:color="auto"/>
            </w:tcBorders>
            <w:tcMar>
              <w:left w:w="60" w:type="dxa"/>
              <w:right w:w="60" w:type="dxa"/>
            </w:tcMar>
          </w:tcPr>
          <w:p w14:paraId="10D86BC2" w14:textId="77777777"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2c) AP’s feel satisfied advocates have made sufficient efforts to uphold their rights and challenge injustice. </w:t>
            </w:r>
          </w:p>
          <w:p w14:paraId="59AA98D0"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00B54B44"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Advocates have raised AP’s concerns about their rights with mental health professionals. </w:t>
            </w:r>
          </w:p>
          <w:p w14:paraId="4615322A"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Advocates have carried out follow ups wherever appropriate to ensure AP’s rights are upheld </w:t>
            </w:r>
          </w:p>
          <w:p w14:paraId="36325385"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Advocates have reported back to </w:t>
            </w:r>
            <w:proofErr w:type="gramStart"/>
            <w:r>
              <w:rPr>
                <w:rFonts w:ascii="Aptos" w:eastAsia="Aptos" w:hAnsi="Aptos" w:cs="Aptos"/>
                <w:color w:val="000000" w:themeColor="text1"/>
                <w:sz w:val="22"/>
                <w:szCs w:val="22"/>
              </w:rPr>
              <w:t>AP’s</w:t>
            </w:r>
            <w:proofErr w:type="gramEnd"/>
            <w:r>
              <w:rPr>
                <w:rFonts w:ascii="Aptos" w:eastAsia="Aptos" w:hAnsi="Aptos" w:cs="Aptos"/>
                <w:color w:val="000000" w:themeColor="text1"/>
                <w:sz w:val="22"/>
                <w:szCs w:val="22"/>
              </w:rPr>
              <w:t xml:space="preserve"> about case progress. </w:t>
            </w:r>
          </w:p>
          <w:p w14:paraId="43BAE796"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Advocate has asked does the AP have an advance choice document and if </w:t>
            </w:r>
            <w:proofErr w:type="gramStart"/>
            <w:r>
              <w:rPr>
                <w:rFonts w:ascii="Aptos" w:eastAsia="Aptos" w:hAnsi="Aptos" w:cs="Aptos"/>
                <w:color w:val="000000" w:themeColor="text1"/>
                <w:sz w:val="22"/>
                <w:szCs w:val="22"/>
              </w:rPr>
              <w:t>so</w:t>
            </w:r>
            <w:proofErr w:type="gramEnd"/>
            <w:r>
              <w:rPr>
                <w:rFonts w:ascii="Aptos" w:eastAsia="Aptos" w:hAnsi="Aptos" w:cs="Aptos"/>
                <w:color w:val="000000" w:themeColor="text1"/>
                <w:sz w:val="22"/>
                <w:szCs w:val="22"/>
              </w:rPr>
              <w:t xml:space="preserve"> ensure the inpatient staff apply it as far as possible.</w:t>
            </w:r>
          </w:p>
          <w:p w14:paraId="74535043" w14:textId="77777777" w:rsidR="00DD469B" w:rsidRDefault="00DD469B">
            <w:pPr>
              <w:rPr>
                <w:rFonts w:ascii="Aptos" w:eastAsia="Aptos" w:hAnsi="Aptos" w:cs="Aptos"/>
                <w:color w:val="000000" w:themeColor="text1"/>
                <w:sz w:val="22"/>
                <w:szCs w:val="22"/>
              </w:rPr>
            </w:pPr>
          </w:p>
        </w:tc>
        <w:tc>
          <w:tcPr>
            <w:tcW w:w="2990" w:type="dxa"/>
            <w:tcBorders>
              <w:right w:val="single" w:sz="6" w:space="0" w:color="auto"/>
            </w:tcBorders>
            <w:tcMar>
              <w:left w:w="60" w:type="dxa"/>
              <w:right w:w="60" w:type="dxa"/>
            </w:tcMar>
          </w:tcPr>
          <w:p w14:paraId="648782E6"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AP’s feel satisfied the advocate has made sufficient efforts to uphold their rights (e.g. freedom from discrimination, experiencing care in the least restrictive way possible). </w:t>
            </w:r>
          </w:p>
          <w:p w14:paraId="3DB5AE16"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Increase in number of racially minoritised people supported to make complaint/raise concern. </w:t>
            </w:r>
          </w:p>
          <w:p w14:paraId="7DE4577B"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Number of </w:t>
            </w:r>
            <w:proofErr w:type="gramStart"/>
            <w:r>
              <w:rPr>
                <w:rFonts w:ascii="Aptos" w:eastAsia="Aptos" w:hAnsi="Aptos" w:cs="Aptos"/>
                <w:color w:val="000000" w:themeColor="text1"/>
                <w:sz w:val="22"/>
                <w:szCs w:val="22"/>
              </w:rPr>
              <w:t>rights based</w:t>
            </w:r>
            <w:proofErr w:type="gramEnd"/>
            <w:r>
              <w:rPr>
                <w:rFonts w:ascii="Aptos" w:eastAsia="Aptos" w:hAnsi="Aptos" w:cs="Aptos"/>
                <w:color w:val="000000" w:themeColor="text1"/>
                <w:sz w:val="22"/>
                <w:szCs w:val="22"/>
              </w:rPr>
              <w:t xml:space="preserve"> cases involving racially minoritised people is representative of service demographics. </w:t>
            </w:r>
          </w:p>
          <w:p w14:paraId="3BFD138D" w14:textId="77777777" w:rsidR="00DD469B" w:rsidRDefault="00A824C9">
            <w:pPr>
              <w:pStyle w:val="ListParagraph"/>
              <w:numPr>
                <w:ilvl w:val="0"/>
                <w:numId w:val="8"/>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AP’s feel satisfied that advocates have sufficiently articulated their concerns about the environmental conditions of their detention, their overall physical and mental wellbeing and professional practice.</w:t>
            </w:r>
          </w:p>
        </w:tc>
      </w:tr>
      <w:tr w:rsidR="00DD469B" w14:paraId="7063CF8D" w14:textId="77777777">
        <w:trPr>
          <w:trHeight w:val="300"/>
        </w:trPr>
        <w:tc>
          <w:tcPr>
            <w:tcW w:w="2990" w:type="dxa"/>
            <w:tcBorders>
              <w:left w:val="single" w:sz="6" w:space="0" w:color="auto"/>
            </w:tcBorders>
            <w:tcMar>
              <w:left w:w="60" w:type="dxa"/>
              <w:right w:w="60" w:type="dxa"/>
            </w:tcMar>
          </w:tcPr>
          <w:p w14:paraId="25652F58" w14:textId="63EE9CDC" w:rsidR="00DD469B" w:rsidRDefault="00A824C9" w:rsidP="00764AAA">
            <w:pPr>
              <w:rPr>
                <w:rFonts w:ascii="Aptos" w:eastAsia="Aptos" w:hAnsi="Aptos" w:cs="Aptos"/>
                <w:color w:val="000000" w:themeColor="text1"/>
                <w:sz w:val="22"/>
                <w:szCs w:val="22"/>
              </w:rPr>
            </w:pPr>
            <w:r>
              <w:rPr>
                <w:rStyle w:val="normaltextrun"/>
                <w:rFonts w:ascii="Aptos" w:eastAsia="Aptos" w:hAnsi="Aptos" w:cs="Aptos"/>
                <w:color w:val="000000" w:themeColor="text1"/>
                <w:sz w:val="22"/>
                <w:szCs w:val="22"/>
              </w:rPr>
              <w:t xml:space="preserve">2d) </w:t>
            </w:r>
            <w:r>
              <w:rPr>
                <w:rFonts w:ascii="Aptos" w:eastAsia="Aptos" w:hAnsi="Aptos" w:cs="Aptos"/>
                <w:color w:val="000000" w:themeColor="text1"/>
                <w:sz w:val="22"/>
                <w:szCs w:val="22"/>
              </w:rPr>
              <w:t xml:space="preserve">When </w:t>
            </w:r>
            <w:proofErr w:type="gramStart"/>
            <w:r>
              <w:rPr>
                <w:rFonts w:ascii="Aptos" w:eastAsia="Aptos" w:hAnsi="Aptos" w:cs="Aptos"/>
                <w:color w:val="000000" w:themeColor="text1"/>
                <w:sz w:val="22"/>
                <w:szCs w:val="22"/>
              </w:rPr>
              <w:t>a</w:t>
            </w:r>
            <w:proofErr w:type="gramEnd"/>
            <w:r>
              <w:rPr>
                <w:rFonts w:ascii="Aptos" w:eastAsia="Aptos" w:hAnsi="Aptos" w:cs="Aptos"/>
                <w:color w:val="000000" w:themeColor="text1"/>
                <w:sz w:val="22"/>
                <w:szCs w:val="22"/>
              </w:rPr>
              <w:t xml:space="preserve"> AP consents, and it is appropriate, advocates should work with the AP’s family/next of kin and </w:t>
            </w:r>
            <w:r>
              <w:rPr>
                <w:rFonts w:ascii="Aptos" w:eastAsia="Aptos" w:hAnsi="Aptos" w:cs="Aptos"/>
                <w:color w:val="000000" w:themeColor="text1"/>
                <w:sz w:val="22"/>
                <w:szCs w:val="22"/>
              </w:rPr>
              <w:lastRenderedPageBreak/>
              <w:t>include/respect their perspectives. </w:t>
            </w:r>
          </w:p>
        </w:tc>
        <w:tc>
          <w:tcPr>
            <w:tcW w:w="2990" w:type="dxa"/>
            <w:tcMar>
              <w:left w:w="60" w:type="dxa"/>
              <w:right w:w="60" w:type="dxa"/>
            </w:tcMar>
          </w:tcPr>
          <w:p w14:paraId="614CBE8E" w14:textId="03622739" w:rsidR="00DD469B" w:rsidRDefault="00A824C9">
            <w:pPr>
              <w:pStyle w:val="ListParagraph"/>
              <w:numPr>
                <w:ilvl w:val="0"/>
                <w:numId w:val="4"/>
              </w:numPr>
              <w:spacing w:after="0" w:line="240" w:lineRule="auto"/>
              <w:rPr>
                <w:rFonts w:eastAsia="Aptos" w:cs="Aptos"/>
                <w:color w:val="000000" w:themeColor="text1"/>
                <w:sz w:val="22"/>
                <w:szCs w:val="22"/>
              </w:rPr>
            </w:pPr>
            <w:r>
              <w:rPr>
                <w:rFonts w:eastAsia="Aptos" w:cs="Times New Roman"/>
                <w:color w:val="000000" w:themeColor="text1"/>
                <w:sz w:val="22"/>
                <w:szCs w:val="22"/>
              </w:rPr>
              <w:lastRenderedPageBreak/>
              <w:t>Advocate explores AP</w:t>
            </w:r>
            <w:r w:rsidR="00764AAA">
              <w:rPr>
                <w:rFonts w:eastAsia="Aptos" w:cs="Times New Roman"/>
                <w:color w:val="000000" w:themeColor="text1"/>
                <w:sz w:val="22"/>
                <w:szCs w:val="22"/>
              </w:rPr>
              <w:t>’s</w:t>
            </w:r>
            <w:r>
              <w:rPr>
                <w:rFonts w:eastAsia="Aptos" w:cs="Times New Roman"/>
                <w:color w:val="000000" w:themeColor="text1"/>
                <w:sz w:val="22"/>
                <w:szCs w:val="22"/>
              </w:rPr>
              <w:t xml:space="preserve"> </w:t>
            </w:r>
            <w:r w:rsidR="00764AAA">
              <w:rPr>
                <w:rFonts w:eastAsia="Aptos" w:cs="Times New Roman"/>
                <w:color w:val="000000" w:themeColor="text1"/>
                <w:sz w:val="22"/>
                <w:szCs w:val="22"/>
              </w:rPr>
              <w:t xml:space="preserve">wish for </w:t>
            </w:r>
            <w:r>
              <w:rPr>
                <w:rFonts w:eastAsia="Aptos" w:cs="Times New Roman"/>
                <w:color w:val="000000" w:themeColor="text1"/>
                <w:sz w:val="22"/>
                <w:szCs w:val="22"/>
              </w:rPr>
              <w:t>family</w:t>
            </w:r>
            <w:r w:rsidR="00764AAA">
              <w:rPr>
                <w:rFonts w:eastAsia="Aptos" w:cs="Times New Roman"/>
                <w:color w:val="000000" w:themeColor="text1"/>
                <w:sz w:val="22"/>
                <w:szCs w:val="22"/>
              </w:rPr>
              <w:t xml:space="preserve"> or carer</w:t>
            </w:r>
            <w:r>
              <w:rPr>
                <w:rFonts w:eastAsia="Aptos" w:cs="Times New Roman"/>
                <w:color w:val="000000" w:themeColor="text1"/>
                <w:sz w:val="22"/>
                <w:szCs w:val="22"/>
              </w:rPr>
              <w:t xml:space="preserve"> involvement. </w:t>
            </w:r>
          </w:p>
          <w:p w14:paraId="6D0CD5EB" w14:textId="13955BC7" w:rsidR="00DD469B" w:rsidRDefault="00A824C9">
            <w:pPr>
              <w:pStyle w:val="ListParagraph"/>
              <w:numPr>
                <w:ilvl w:val="0"/>
                <w:numId w:val="4"/>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Advocates inform AP’s family /</w:t>
            </w:r>
            <w:r w:rsidR="00764AAA">
              <w:rPr>
                <w:rFonts w:ascii="Aptos" w:eastAsia="Aptos" w:hAnsi="Aptos" w:cs="Aptos"/>
                <w:color w:val="000000" w:themeColor="text1"/>
                <w:sz w:val="22"/>
                <w:szCs w:val="22"/>
              </w:rPr>
              <w:t xml:space="preserve">nearest </w:t>
            </w:r>
            <w:r w:rsidR="00764AAA">
              <w:rPr>
                <w:rFonts w:ascii="Aptos" w:eastAsia="Aptos" w:hAnsi="Aptos" w:cs="Aptos"/>
                <w:color w:val="000000" w:themeColor="text1"/>
                <w:sz w:val="22"/>
                <w:szCs w:val="22"/>
              </w:rPr>
              <w:lastRenderedPageBreak/>
              <w:t>relative</w:t>
            </w:r>
            <w:r>
              <w:rPr>
                <w:rFonts w:ascii="Aptos" w:eastAsia="Aptos" w:hAnsi="Aptos" w:cs="Aptos"/>
                <w:color w:val="000000" w:themeColor="text1"/>
                <w:sz w:val="22"/>
                <w:szCs w:val="22"/>
              </w:rPr>
              <w:t xml:space="preserve"> about their rights and care</w:t>
            </w:r>
            <w:r w:rsidR="00764AAA">
              <w:rPr>
                <w:rFonts w:ascii="Aptos" w:eastAsia="Aptos" w:hAnsi="Aptos" w:cs="Aptos"/>
                <w:color w:val="000000" w:themeColor="text1"/>
                <w:sz w:val="22"/>
                <w:szCs w:val="22"/>
              </w:rPr>
              <w:t xml:space="preserve">. </w:t>
            </w:r>
          </w:p>
        </w:tc>
        <w:tc>
          <w:tcPr>
            <w:tcW w:w="2990" w:type="dxa"/>
            <w:tcBorders>
              <w:right w:val="single" w:sz="6" w:space="0" w:color="auto"/>
            </w:tcBorders>
            <w:tcMar>
              <w:left w:w="60" w:type="dxa"/>
              <w:right w:w="60" w:type="dxa"/>
            </w:tcMar>
          </w:tcPr>
          <w:p w14:paraId="20777A28" w14:textId="77777777" w:rsidR="00DD469B" w:rsidRDefault="00A824C9">
            <w:pPr>
              <w:pStyle w:val="ListParagraph"/>
              <w:numPr>
                <w:ilvl w:val="0"/>
                <w:numId w:val="9"/>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Racially minoritised APs report greater involvement in their care from family/kin.</w:t>
            </w:r>
          </w:p>
          <w:p w14:paraId="229605A8" w14:textId="77777777" w:rsidR="00DD469B" w:rsidRDefault="00DD469B">
            <w:pPr>
              <w:rPr>
                <w:rFonts w:ascii="Aptos" w:eastAsia="Aptos" w:hAnsi="Aptos" w:cs="Aptos"/>
                <w:color w:val="000000" w:themeColor="text1"/>
                <w:sz w:val="22"/>
                <w:szCs w:val="22"/>
              </w:rPr>
            </w:pPr>
          </w:p>
        </w:tc>
      </w:tr>
      <w:tr w:rsidR="00DD469B" w14:paraId="4877B331" w14:textId="77777777">
        <w:trPr>
          <w:trHeight w:val="300"/>
        </w:trPr>
        <w:tc>
          <w:tcPr>
            <w:tcW w:w="2990" w:type="dxa"/>
            <w:tcBorders>
              <w:left w:val="single" w:sz="6" w:space="0" w:color="auto"/>
            </w:tcBorders>
            <w:tcMar>
              <w:left w:w="60" w:type="dxa"/>
              <w:right w:w="60" w:type="dxa"/>
            </w:tcMar>
          </w:tcPr>
          <w:p w14:paraId="401E460A" w14:textId="77777777"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2e) Racially marginalised people have increased voice at key decision-making points.</w:t>
            </w:r>
          </w:p>
          <w:p w14:paraId="6471C42C"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7B7FC451" w14:textId="50470FC5" w:rsidR="00DD469B" w:rsidRDefault="009F58AE" w:rsidP="00764AAA">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Patient</w:t>
            </w:r>
            <w:r w:rsidR="00A824C9">
              <w:rPr>
                <w:rFonts w:ascii="Aptos" w:eastAsia="Aptos" w:hAnsi="Aptos" w:cs="Aptos"/>
                <w:color w:val="000000" w:themeColor="text1"/>
                <w:sz w:val="22"/>
                <w:szCs w:val="22"/>
              </w:rPr>
              <w:t xml:space="preserve">s are clearly offered advocacy at MDT/care plan, and other key, meetings. This offer should be made by advocacy organisations and opt out via NHS </w:t>
            </w:r>
            <w:r w:rsidR="00764AAA">
              <w:rPr>
                <w:rFonts w:ascii="Aptos" w:eastAsia="Aptos" w:hAnsi="Aptos" w:cs="Aptos"/>
                <w:color w:val="000000" w:themeColor="text1"/>
                <w:sz w:val="22"/>
                <w:szCs w:val="22"/>
              </w:rPr>
              <w:t>staff (</w:t>
            </w:r>
            <w:proofErr w:type="spellStart"/>
            <w:r w:rsidR="00A824C9">
              <w:rPr>
                <w:rFonts w:ascii="Aptos" w:eastAsia="Aptos" w:hAnsi="Aptos" w:cs="Aptos"/>
                <w:color w:val="000000" w:themeColor="text1"/>
                <w:sz w:val="22"/>
                <w:szCs w:val="22"/>
              </w:rPr>
              <w:t>e.g</w:t>
            </w:r>
            <w:proofErr w:type="spellEnd"/>
            <w:r w:rsidR="00A824C9">
              <w:rPr>
                <w:rFonts w:ascii="Aptos" w:eastAsia="Aptos" w:hAnsi="Aptos" w:cs="Aptos"/>
                <w:color w:val="000000" w:themeColor="text1"/>
                <w:sz w:val="22"/>
                <w:szCs w:val="22"/>
              </w:rPr>
              <w:t xml:space="preserve"> repeated opt out for ward rounds, CTM, personalised plans, medication review). </w:t>
            </w:r>
          </w:p>
        </w:tc>
        <w:tc>
          <w:tcPr>
            <w:tcW w:w="2990" w:type="dxa"/>
            <w:tcBorders>
              <w:right w:val="single" w:sz="6" w:space="0" w:color="auto"/>
            </w:tcBorders>
            <w:tcMar>
              <w:left w:w="60" w:type="dxa"/>
              <w:right w:w="60" w:type="dxa"/>
            </w:tcMar>
          </w:tcPr>
          <w:p w14:paraId="3CA8645E" w14:textId="77777777" w:rsidR="00764AAA" w:rsidRDefault="00A824C9" w:rsidP="00764AAA">
            <w:pPr>
              <w:pStyle w:val="ListParagraph"/>
              <w:numPr>
                <w:ilvl w:val="0"/>
                <w:numId w:val="3"/>
              </w:numPr>
              <w:spacing w:after="0" w:line="240" w:lineRule="auto"/>
              <w:rPr>
                <w:rFonts w:ascii="Aptos" w:eastAsia="Aptos" w:hAnsi="Aptos" w:cs="Aptos"/>
                <w:color w:val="000000" w:themeColor="text1"/>
                <w:sz w:val="22"/>
                <w:szCs w:val="22"/>
              </w:rPr>
            </w:pPr>
            <w:r>
              <w:rPr>
                <w:rFonts w:ascii="Aptos" w:eastAsia="Aptos" w:hAnsi="Aptos" w:cs="Aptos"/>
                <w:color w:val="1F1F1F"/>
                <w:sz w:val="22"/>
                <w:szCs w:val="22"/>
              </w:rPr>
              <w:t>Racially minoritised people receiving advocacy support at MDT and other key meetings is</w:t>
            </w:r>
            <w:r>
              <w:rPr>
                <w:rFonts w:ascii="Aptos" w:eastAsia="Aptos" w:hAnsi="Aptos" w:cs="Aptos"/>
                <w:color w:val="000000" w:themeColor="text1"/>
                <w:sz w:val="22"/>
                <w:szCs w:val="22"/>
              </w:rPr>
              <w:t xml:space="preserve"> proportionate for each ethnic </w:t>
            </w:r>
            <w:r w:rsidR="00764AAA">
              <w:rPr>
                <w:rFonts w:ascii="Aptos" w:eastAsia="Aptos" w:hAnsi="Aptos" w:cs="Aptos"/>
                <w:color w:val="000000" w:themeColor="text1"/>
                <w:sz w:val="22"/>
                <w:szCs w:val="22"/>
              </w:rPr>
              <w:t xml:space="preserve">minoritised </w:t>
            </w:r>
            <w:r>
              <w:rPr>
                <w:rFonts w:ascii="Aptos" w:eastAsia="Aptos" w:hAnsi="Aptos" w:cs="Aptos"/>
                <w:color w:val="000000" w:themeColor="text1"/>
                <w:sz w:val="22"/>
                <w:szCs w:val="22"/>
              </w:rPr>
              <w:t>group on ward.</w:t>
            </w:r>
          </w:p>
          <w:p w14:paraId="33D9E01E" w14:textId="20677962" w:rsidR="00DD469B" w:rsidRPr="00764AAA" w:rsidRDefault="00A824C9" w:rsidP="00764AAA">
            <w:pPr>
              <w:pStyle w:val="ListParagraph"/>
              <w:numPr>
                <w:ilvl w:val="0"/>
                <w:numId w:val="3"/>
              </w:numPr>
              <w:spacing w:after="0" w:line="240" w:lineRule="auto"/>
              <w:rPr>
                <w:rFonts w:ascii="Aptos" w:eastAsia="Aptos" w:hAnsi="Aptos" w:cs="Aptos"/>
                <w:color w:val="000000" w:themeColor="text1"/>
                <w:sz w:val="22"/>
                <w:szCs w:val="22"/>
              </w:rPr>
            </w:pPr>
            <w:r w:rsidRPr="00764AAA">
              <w:rPr>
                <w:rStyle w:val="normaltextrun"/>
                <w:rFonts w:ascii="Aptos" w:eastAsia="Aptos" w:hAnsi="Aptos" w:cs="Aptos"/>
                <w:color w:val="000000" w:themeColor="text1"/>
                <w:sz w:val="22"/>
                <w:szCs w:val="22"/>
              </w:rPr>
              <w:t xml:space="preserve">SU’s feel supported a </w:t>
            </w:r>
            <w:proofErr w:type="gramStart"/>
            <w:r w:rsidRPr="00764AAA">
              <w:rPr>
                <w:rStyle w:val="normaltextrun"/>
                <w:rFonts w:ascii="Aptos" w:eastAsia="Aptos" w:hAnsi="Aptos" w:cs="Aptos"/>
                <w:color w:val="000000" w:themeColor="text1"/>
                <w:sz w:val="22"/>
                <w:szCs w:val="22"/>
              </w:rPr>
              <w:t>key decision-making meetings</w:t>
            </w:r>
            <w:proofErr w:type="gramEnd"/>
            <w:r w:rsidRPr="00764AAA">
              <w:rPr>
                <w:rStyle w:val="normaltextrun"/>
                <w:rFonts w:ascii="Aptos" w:eastAsia="Aptos" w:hAnsi="Aptos" w:cs="Aptos"/>
                <w:color w:val="000000" w:themeColor="text1"/>
                <w:sz w:val="22"/>
                <w:szCs w:val="22"/>
              </w:rPr>
              <w:t>.</w:t>
            </w:r>
          </w:p>
        </w:tc>
      </w:tr>
      <w:tr w:rsidR="00DD469B" w14:paraId="748F5049" w14:textId="77777777">
        <w:trPr>
          <w:trHeight w:val="300"/>
        </w:trPr>
        <w:tc>
          <w:tcPr>
            <w:tcW w:w="8970" w:type="dxa"/>
            <w:gridSpan w:val="3"/>
            <w:tcBorders>
              <w:left w:val="single" w:sz="6" w:space="0" w:color="auto"/>
              <w:right w:val="single" w:sz="6" w:space="0" w:color="auto"/>
            </w:tcBorders>
            <w:shd w:val="clear" w:color="auto" w:fill="FFC000"/>
            <w:tcMar>
              <w:left w:w="60" w:type="dxa"/>
              <w:right w:w="60" w:type="dxa"/>
            </w:tcMar>
          </w:tcPr>
          <w:p w14:paraId="332245E7" w14:textId="042CBAD3" w:rsidR="00DD469B" w:rsidRDefault="00A824C9">
            <w:pPr>
              <w:rPr>
                <w:rFonts w:ascii="Aptos" w:eastAsia="Aptos" w:hAnsi="Aptos" w:cs="Aptos"/>
                <w:color w:val="000000" w:themeColor="text1"/>
                <w:sz w:val="22"/>
                <w:szCs w:val="22"/>
              </w:rPr>
            </w:pPr>
            <w:r>
              <w:rPr>
                <w:rFonts w:ascii="Aptos" w:eastAsia="Aptos" w:hAnsi="Aptos" w:cs="Aptos"/>
                <w:b/>
                <w:bCs/>
                <w:color w:val="000000" w:themeColor="text1"/>
                <w:sz w:val="22"/>
                <w:szCs w:val="22"/>
              </w:rPr>
              <w:t>3. Improved outcomes</w:t>
            </w:r>
          </w:p>
          <w:p w14:paraId="44E0865C" w14:textId="77777777" w:rsidR="00DD469B" w:rsidRDefault="00DD469B">
            <w:pPr>
              <w:rPr>
                <w:rFonts w:ascii="Aptos" w:eastAsia="Aptos" w:hAnsi="Aptos" w:cs="Aptos"/>
                <w:color w:val="000000" w:themeColor="text1"/>
                <w:sz w:val="22"/>
                <w:szCs w:val="22"/>
              </w:rPr>
            </w:pPr>
          </w:p>
        </w:tc>
      </w:tr>
      <w:tr w:rsidR="00DD469B" w14:paraId="1D03157E" w14:textId="77777777">
        <w:trPr>
          <w:trHeight w:val="300"/>
        </w:trPr>
        <w:tc>
          <w:tcPr>
            <w:tcW w:w="2990" w:type="dxa"/>
            <w:tcBorders>
              <w:left w:val="single" w:sz="6" w:space="0" w:color="auto"/>
              <w:right w:val="single" w:sz="6" w:space="0" w:color="auto"/>
            </w:tcBorders>
            <w:tcMar>
              <w:left w:w="60" w:type="dxa"/>
              <w:right w:w="60" w:type="dxa"/>
            </w:tcMar>
          </w:tcPr>
          <w:p w14:paraId="3907EAB2" w14:textId="72091E73" w:rsidR="00DD469B" w:rsidRDefault="00D22D67">
            <w:pPr>
              <w:rPr>
                <w:rFonts w:ascii="Aptos" w:eastAsia="Aptos" w:hAnsi="Aptos" w:cs="Aptos"/>
                <w:color w:val="000000" w:themeColor="text1"/>
                <w:sz w:val="22"/>
                <w:szCs w:val="22"/>
              </w:rPr>
            </w:pPr>
            <w:r>
              <w:rPr>
                <w:rFonts w:ascii="Aptos" w:eastAsia="Aptos" w:hAnsi="Aptos" w:cs="Aptos"/>
                <w:b/>
                <w:bCs/>
                <w:color w:val="000000" w:themeColor="text1"/>
                <w:sz w:val="22"/>
                <w:szCs w:val="22"/>
              </w:rPr>
              <w:t>Quality standard</w:t>
            </w:r>
          </w:p>
        </w:tc>
        <w:tc>
          <w:tcPr>
            <w:tcW w:w="2990" w:type="dxa"/>
            <w:tcMar>
              <w:left w:w="60" w:type="dxa"/>
              <w:right w:w="60" w:type="dxa"/>
            </w:tcMar>
          </w:tcPr>
          <w:p w14:paraId="7FC370F9" w14:textId="77777777" w:rsidR="00DD469B" w:rsidRDefault="00A824C9">
            <w:pPr>
              <w:rPr>
                <w:rFonts w:ascii="Aptos" w:eastAsia="Aptos" w:hAnsi="Aptos" w:cs="Aptos"/>
                <w:color w:val="000000" w:themeColor="text1"/>
                <w:sz w:val="22"/>
                <w:szCs w:val="22"/>
              </w:rPr>
            </w:pPr>
            <w:r>
              <w:rPr>
                <w:rFonts w:ascii="Aptos" w:eastAsia="Aptos" w:hAnsi="Aptos" w:cs="Aptos"/>
                <w:b/>
                <w:bCs/>
                <w:color w:val="000000" w:themeColor="text1"/>
                <w:sz w:val="22"/>
                <w:szCs w:val="22"/>
              </w:rPr>
              <w:t>Example output</w:t>
            </w:r>
          </w:p>
        </w:tc>
        <w:tc>
          <w:tcPr>
            <w:tcW w:w="2990" w:type="dxa"/>
            <w:tcBorders>
              <w:right w:val="single" w:sz="6" w:space="0" w:color="auto"/>
            </w:tcBorders>
            <w:tcMar>
              <w:left w:w="60" w:type="dxa"/>
              <w:right w:w="60" w:type="dxa"/>
            </w:tcMar>
          </w:tcPr>
          <w:p w14:paraId="07D1F726" w14:textId="77777777" w:rsidR="00DD469B" w:rsidRDefault="00A824C9">
            <w:pPr>
              <w:rPr>
                <w:rFonts w:ascii="Aptos" w:eastAsia="Aptos" w:hAnsi="Aptos" w:cs="Aptos"/>
                <w:color w:val="000000" w:themeColor="text1"/>
                <w:sz w:val="22"/>
                <w:szCs w:val="22"/>
              </w:rPr>
            </w:pPr>
            <w:r>
              <w:rPr>
                <w:rFonts w:ascii="Aptos" w:eastAsia="Aptos" w:hAnsi="Aptos" w:cs="Aptos"/>
                <w:b/>
                <w:bCs/>
                <w:color w:val="000000" w:themeColor="text1"/>
                <w:sz w:val="22"/>
                <w:szCs w:val="22"/>
              </w:rPr>
              <w:t>Example success indicator</w:t>
            </w:r>
          </w:p>
        </w:tc>
      </w:tr>
      <w:tr w:rsidR="00DD469B" w14:paraId="2FE88A9D" w14:textId="77777777">
        <w:trPr>
          <w:trHeight w:val="300"/>
        </w:trPr>
        <w:tc>
          <w:tcPr>
            <w:tcW w:w="2990" w:type="dxa"/>
            <w:tcBorders>
              <w:left w:val="single" w:sz="6" w:space="0" w:color="auto"/>
            </w:tcBorders>
            <w:tcMar>
              <w:left w:w="60" w:type="dxa"/>
              <w:right w:w="60" w:type="dxa"/>
            </w:tcMar>
          </w:tcPr>
          <w:p w14:paraId="1A5C4E74" w14:textId="77777777"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3a) When requested, </w:t>
            </w:r>
            <w:proofErr w:type="gramStart"/>
            <w:r>
              <w:rPr>
                <w:rFonts w:ascii="Aptos" w:eastAsia="Aptos" w:hAnsi="Aptos" w:cs="Aptos"/>
                <w:color w:val="000000" w:themeColor="text1"/>
                <w:sz w:val="22"/>
                <w:szCs w:val="22"/>
              </w:rPr>
              <w:t>AP’s</w:t>
            </w:r>
            <w:proofErr w:type="gramEnd"/>
            <w:r>
              <w:rPr>
                <w:rFonts w:ascii="Aptos" w:eastAsia="Aptos" w:hAnsi="Aptos" w:cs="Aptos"/>
                <w:color w:val="000000" w:themeColor="text1"/>
                <w:sz w:val="22"/>
                <w:szCs w:val="22"/>
              </w:rPr>
              <w:t xml:space="preserve"> should have a choice (e.g. gender, ethnicity, LGBTQ+) of advocate.</w:t>
            </w:r>
          </w:p>
          <w:p w14:paraId="623A7D26"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78DFFFCE" w14:textId="77777777" w:rsidR="00DD469B" w:rsidRDefault="00A824C9">
            <w:pPr>
              <w:pStyle w:val="ListParagraph"/>
              <w:numPr>
                <w:ilvl w:val="0"/>
                <w:numId w:val="10"/>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Advocacy organisations use positive action in recruitment</w:t>
            </w:r>
          </w:p>
          <w:p w14:paraId="44657C58" w14:textId="77777777" w:rsidR="00DD469B" w:rsidRDefault="00A824C9">
            <w:pPr>
              <w:pStyle w:val="ListParagraph"/>
              <w:numPr>
                <w:ilvl w:val="0"/>
                <w:numId w:val="10"/>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Advocacy organisations develop effective and equitable partnership with appropriate community organisations to enable advocacy needs to be appropriately met. </w:t>
            </w:r>
          </w:p>
          <w:p w14:paraId="04601536" w14:textId="77777777" w:rsidR="00DD469B" w:rsidRDefault="00A824C9">
            <w:pPr>
              <w:pStyle w:val="ListParagraph"/>
              <w:numPr>
                <w:ilvl w:val="0"/>
                <w:numId w:val="10"/>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Advocacy organisations recruit or collaborate with peer advocates to enable advocacy needs to be appropriately met.</w:t>
            </w:r>
          </w:p>
          <w:p w14:paraId="751A78E7" w14:textId="77777777" w:rsidR="00DD469B" w:rsidRDefault="00DD469B">
            <w:pPr>
              <w:rPr>
                <w:rFonts w:ascii="Aptos" w:eastAsia="Aptos" w:hAnsi="Aptos" w:cs="Aptos"/>
                <w:color w:val="000000" w:themeColor="text1"/>
                <w:sz w:val="22"/>
                <w:szCs w:val="22"/>
              </w:rPr>
            </w:pPr>
          </w:p>
        </w:tc>
        <w:tc>
          <w:tcPr>
            <w:tcW w:w="2990" w:type="dxa"/>
            <w:tcBorders>
              <w:right w:val="single" w:sz="6" w:space="0" w:color="auto"/>
            </w:tcBorders>
            <w:tcMar>
              <w:left w:w="60" w:type="dxa"/>
              <w:right w:w="60" w:type="dxa"/>
            </w:tcMar>
          </w:tcPr>
          <w:p w14:paraId="139D3047" w14:textId="77777777" w:rsidR="00DD469B" w:rsidRDefault="00A824C9">
            <w:pPr>
              <w:pStyle w:val="ListParagraph"/>
              <w:numPr>
                <w:ilvl w:val="0"/>
                <w:numId w:val="10"/>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AP’s report they have established safe and trusting relationships with their advocate.</w:t>
            </w:r>
          </w:p>
          <w:p w14:paraId="1051DF19" w14:textId="77777777" w:rsidR="00DD469B" w:rsidRDefault="00DD469B">
            <w:pPr>
              <w:rPr>
                <w:rFonts w:ascii="Aptos" w:eastAsia="Aptos" w:hAnsi="Aptos" w:cs="Aptos"/>
                <w:color w:val="000000" w:themeColor="text1"/>
                <w:sz w:val="22"/>
                <w:szCs w:val="22"/>
              </w:rPr>
            </w:pPr>
          </w:p>
        </w:tc>
      </w:tr>
      <w:tr w:rsidR="00DD469B" w14:paraId="0E630271" w14:textId="77777777">
        <w:trPr>
          <w:trHeight w:val="300"/>
        </w:trPr>
        <w:tc>
          <w:tcPr>
            <w:tcW w:w="2990" w:type="dxa"/>
            <w:tcBorders>
              <w:left w:val="single" w:sz="6" w:space="0" w:color="auto"/>
            </w:tcBorders>
            <w:tcMar>
              <w:left w:w="60" w:type="dxa"/>
              <w:right w:w="60" w:type="dxa"/>
            </w:tcMar>
          </w:tcPr>
          <w:p w14:paraId="071A7C49" w14:textId="77777777"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t>3b) Diverse lived experience informs the strategic direction and operational strategies of the advocacy organisation.</w:t>
            </w:r>
          </w:p>
          <w:p w14:paraId="1E1EA86E"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19304860" w14:textId="77777777" w:rsidR="00DD469B" w:rsidRDefault="00A824C9">
            <w:pPr>
              <w:pStyle w:val="ListParagraph"/>
              <w:numPr>
                <w:ilvl w:val="0"/>
                <w:numId w:val="11"/>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 strategy is in place for the recruitment and retention of ethnically diverse people with lived experience to be trustees and staff.</w:t>
            </w:r>
          </w:p>
          <w:p w14:paraId="1C573F1B" w14:textId="77777777" w:rsidR="00DD469B" w:rsidRDefault="00A824C9">
            <w:pPr>
              <w:pStyle w:val="ListParagraph"/>
              <w:numPr>
                <w:ilvl w:val="0"/>
                <w:numId w:val="11"/>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 xml:space="preserve">The advocacy organisations </w:t>
            </w:r>
            <w:proofErr w:type="gramStart"/>
            <w:r>
              <w:rPr>
                <w:rFonts w:ascii="Aptos" w:eastAsia="Aptos" w:hAnsi="Aptos" w:cs="Aptos"/>
                <w:color w:val="000000" w:themeColor="text1"/>
                <w:sz w:val="22"/>
                <w:szCs w:val="22"/>
              </w:rPr>
              <w:t>seeks</w:t>
            </w:r>
            <w:proofErr w:type="gramEnd"/>
            <w:r>
              <w:rPr>
                <w:rFonts w:ascii="Aptos" w:eastAsia="Aptos" w:hAnsi="Aptos" w:cs="Aptos"/>
                <w:color w:val="000000" w:themeColor="text1"/>
                <w:sz w:val="22"/>
                <w:szCs w:val="22"/>
              </w:rPr>
              <w:t xml:space="preserve"> to facilitate progression from advocacy partner to volunteer and advocate. The strategies implementation is reviewed annually and during any recruitment drive.</w:t>
            </w:r>
          </w:p>
        </w:tc>
        <w:tc>
          <w:tcPr>
            <w:tcW w:w="2990" w:type="dxa"/>
            <w:tcBorders>
              <w:right w:val="single" w:sz="6" w:space="0" w:color="auto"/>
            </w:tcBorders>
            <w:tcMar>
              <w:left w:w="60" w:type="dxa"/>
              <w:right w:w="60" w:type="dxa"/>
            </w:tcMar>
          </w:tcPr>
          <w:p w14:paraId="5A1C9EB0" w14:textId="77777777" w:rsidR="00DD469B" w:rsidRDefault="00A824C9">
            <w:pPr>
              <w:pStyle w:val="ListParagraph"/>
              <w:numPr>
                <w:ilvl w:val="0"/>
                <w:numId w:val="11"/>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Organisational reports indicate an ethnically diverse profile of people with lived experience in decision-making positions.</w:t>
            </w:r>
          </w:p>
          <w:p w14:paraId="1700A267" w14:textId="77777777" w:rsidR="00DD469B" w:rsidRDefault="00A824C9">
            <w:pPr>
              <w:pStyle w:val="ListParagraph"/>
              <w:numPr>
                <w:ilvl w:val="0"/>
                <w:numId w:val="11"/>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Organisation reports indicate ethnically diverse people with lived experience in the staff profile.</w:t>
            </w:r>
          </w:p>
        </w:tc>
      </w:tr>
      <w:tr w:rsidR="00DD469B" w14:paraId="238AE0B1" w14:textId="77777777">
        <w:trPr>
          <w:trHeight w:val="300"/>
        </w:trPr>
        <w:tc>
          <w:tcPr>
            <w:tcW w:w="2990" w:type="dxa"/>
            <w:tcBorders>
              <w:left w:val="single" w:sz="6" w:space="0" w:color="auto"/>
            </w:tcBorders>
            <w:tcMar>
              <w:left w:w="60" w:type="dxa"/>
              <w:right w:w="60" w:type="dxa"/>
            </w:tcMar>
          </w:tcPr>
          <w:p w14:paraId="0761654C" w14:textId="3BEB3B89" w:rsidR="00DD469B" w:rsidRDefault="00A824C9">
            <w:pPr>
              <w:rPr>
                <w:rFonts w:ascii="Aptos" w:eastAsia="Aptos" w:hAnsi="Aptos" w:cs="Aptos"/>
                <w:color w:val="000000" w:themeColor="text1"/>
                <w:sz w:val="22"/>
                <w:szCs w:val="22"/>
              </w:rPr>
            </w:pPr>
            <w:r>
              <w:rPr>
                <w:rStyle w:val="normaltextrun"/>
                <w:rFonts w:ascii="Aptos" w:eastAsia="Aptos" w:hAnsi="Aptos" w:cs="Aptos"/>
                <w:color w:val="000000" w:themeColor="text1"/>
                <w:sz w:val="22"/>
                <w:szCs w:val="22"/>
              </w:rPr>
              <w:lastRenderedPageBreak/>
              <w:t xml:space="preserve">3c) </w:t>
            </w:r>
            <w:r>
              <w:rPr>
                <w:rFonts w:ascii="Aptos" w:eastAsia="Aptos" w:hAnsi="Aptos" w:cs="Aptos"/>
                <w:color w:val="000000" w:themeColor="text1"/>
                <w:sz w:val="22"/>
                <w:szCs w:val="22"/>
              </w:rPr>
              <w:t>A robust system of management and accountability for equality outcomes with a tangible commitment to equality, equity of access and</w:t>
            </w:r>
            <w:r w:rsidR="00A23E72">
              <w:rPr>
                <w:rFonts w:ascii="Aptos" w:eastAsia="Aptos" w:hAnsi="Aptos" w:cs="Aptos"/>
                <w:color w:val="000000" w:themeColor="text1"/>
                <w:sz w:val="22"/>
                <w:szCs w:val="22"/>
              </w:rPr>
              <w:t xml:space="preserve"> review that provision is culturally rel</w:t>
            </w:r>
            <w:r>
              <w:rPr>
                <w:rFonts w:ascii="Aptos" w:eastAsia="Aptos" w:hAnsi="Aptos" w:cs="Aptos"/>
                <w:color w:val="000000" w:themeColor="text1"/>
                <w:sz w:val="22"/>
                <w:szCs w:val="22"/>
              </w:rPr>
              <w:t>e</w:t>
            </w:r>
            <w:r w:rsidR="00A23E72">
              <w:rPr>
                <w:rFonts w:ascii="Aptos" w:eastAsia="Aptos" w:hAnsi="Aptos" w:cs="Aptos"/>
                <w:color w:val="000000" w:themeColor="text1"/>
                <w:sz w:val="22"/>
                <w:szCs w:val="22"/>
              </w:rPr>
              <w:t>vant</w:t>
            </w:r>
            <w:r>
              <w:rPr>
                <w:rFonts w:ascii="Aptos" w:eastAsia="Aptos" w:hAnsi="Aptos" w:cs="Aptos"/>
                <w:color w:val="000000" w:themeColor="text1"/>
                <w:sz w:val="22"/>
                <w:szCs w:val="22"/>
              </w:rPr>
              <w:t>.</w:t>
            </w:r>
          </w:p>
          <w:p w14:paraId="3E77C996" w14:textId="77777777" w:rsidR="00DD469B" w:rsidRDefault="00DD469B">
            <w:pPr>
              <w:rPr>
                <w:rFonts w:ascii="Aptos" w:eastAsia="Aptos" w:hAnsi="Aptos" w:cs="Aptos"/>
                <w:color w:val="000000" w:themeColor="text1"/>
                <w:sz w:val="22"/>
                <w:szCs w:val="22"/>
              </w:rPr>
            </w:pPr>
          </w:p>
        </w:tc>
        <w:tc>
          <w:tcPr>
            <w:tcW w:w="2990" w:type="dxa"/>
            <w:tcMar>
              <w:left w:w="60" w:type="dxa"/>
              <w:right w:w="60" w:type="dxa"/>
            </w:tcMar>
          </w:tcPr>
          <w:p w14:paraId="248329F6" w14:textId="350FD0CD" w:rsidR="00DD469B" w:rsidRDefault="00A824C9">
            <w:pPr>
              <w:pStyle w:val="ListParagraph"/>
              <w:numPr>
                <w:ilvl w:val="0"/>
                <w:numId w:val="1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Engagement is carried out with </w:t>
            </w:r>
            <w:r w:rsidR="009F58AE">
              <w:rPr>
                <w:rFonts w:ascii="Aptos" w:eastAsia="Aptos" w:hAnsi="Aptos" w:cs="Aptos"/>
                <w:color w:val="000000" w:themeColor="text1"/>
                <w:sz w:val="22"/>
                <w:szCs w:val="22"/>
              </w:rPr>
              <w:t>patient</w:t>
            </w:r>
            <w:r>
              <w:rPr>
                <w:rFonts w:ascii="Aptos" w:eastAsia="Aptos" w:hAnsi="Aptos" w:cs="Aptos"/>
                <w:color w:val="000000" w:themeColor="text1"/>
                <w:sz w:val="22"/>
                <w:szCs w:val="22"/>
              </w:rPr>
              <w:t xml:space="preserve">s to develop </w:t>
            </w:r>
            <w:r w:rsidR="009F58AE">
              <w:rPr>
                <w:rFonts w:ascii="Aptos" w:eastAsia="Aptos" w:hAnsi="Aptos" w:cs="Aptos"/>
                <w:b/>
                <w:bCs/>
                <w:color w:val="000000" w:themeColor="text1"/>
                <w:sz w:val="22"/>
                <w:szCs w:val="22"/>
              </w:rPr>
              <w:t>patient</w:t>
            </w:r>
            <w:r>
              <w:rPr>
                <w:rFonts w:ascii="Aptos" w:eastAsia="Aptos" w:hAnsi="Aptos" w:cs="Aptos"/>
                <w:b/>
                <w:bCs/>
                <w:color w:val="000000" w:themeColor="text1"/>
                <w:sz w:val="22"/>
                <w:szCs w:val="22"/>
              </w:rPr>
              <w:t>-defined outputs and outcomes</w:t>
            </w:r>
            <w:r>
              <w:rPr>
                <w:rFonts w:ascii="Aptos" w:eastAsia="Aptos" w:hAnsi="Aptos" w:cs="Aptos"/>
                <w:color w:val="000000" w:themeColor="text1"/>
                <w:sz w:val="22"/>
                <w:szCs w:val="22"/>
              </w:rPr>
              <w:t xml:space="preserve"> (e.g. personal growth, changes in treatment plans, improved relationships with care providers, and greater participation in decision-making).</w:t>
            </w:r>
          </w:p>
          <w:p w14:paraId="56ED9816" w14:textId="159A75BD" w:rsidR="00DD469B" w:rsidRDefault="00A824C9">
            <w:pPr>
              <w:pStyle w:val="ListParagraph"/>
              <w:numPr>
                <w:ilvl w:val="0"/>
                <w:numId w:val="1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Advocacy organisations should 1) collect quality and complete data, 2) monitor and evaluate data and 3) take appropriate action to address inequities in relation to </w:t>
            </w:r>
            <w:r w:rsidR="009F58AE">
              <w:rPr>
                <w:rFonts w:ascii="Aptos" w:eastAsia="Aptos" w:hAnsi="Aptos" w:cs="Aptos"/>
                <w:b/>
                <w:bCs/>
                <w:color w:val="000000" w:themeColor="text1"/>
                <w:sz w:val="22"/>
                <w:szCs w:val="22"/>
              </w:rPr>
              <w:t>patient</w:t>
            </w:r>
            <w:r>
              <w:rPr>
                <w:rFonts w:ascii="Aptos" w:eastAsia="Aptos" w:hAnsi="Aptos" w:cs="Aptos"/>
                <w:b/>
                <w:bCs/>
                <w:color w:val="000000" w:themeColor="text1"/>
                <w:sz w:val="22"/>
                <w:szCs w:val="22"/>
              </w:rPr>
              <w:t xml:space="preserve"> defined outputs and outcomes</w:t>
            </w:r>
            <w:r>
              <w:rPr>
                <w:rFonts w:ascii="Aptos" w:eastAsia="Aptos" w:hAnsi="Aptos" w:cs="Aptos"/>
                <w:color w:val="000000" w:themeColor="text1"/>
                <w:sz w:val="22"/>
                <w:szCs w:val="22"/>
              </w:rPr>
              <w:t xml:space="preserve">. </w:t>
            </w:r>
          </w:p>
          <w:p w14:paraId="73F05609" w14:textId="2BDDAAFA" w:rsidR="00DD469B" w:rsidRDefault="00A824C9">
            <w:pPr>
              <w:pStyle w:val="ListParagraph"/>
              <w:numPr>
                <w:ilvl w:val="0"/>
                <w:numId w:val="1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Regular reports to the </w:t>
            </w:r>
            <w:r w:rsidR="00A23E72">
              <w:rPr>
                <w:rFonts w:ascii="Aptos" w:eastAsia="Aptos" w:hAnsi="Aptos" w:cs="Aptos"/>
                <w:color w:val="000000" w:themeColor="text1"/>
                <w:sz w:val="22"/>
                <w:szCs w:val="22"/>
              </w:rPr>
              <w:t xml:space="preserve">advocacy </w:t>
            </w:r>
            <w:r>
              <w:rPr>
                <w:rFonts w:ascii="Aptos" w:eastAsia="Aptos" w:hAnsi="Aptos" w:cs="Aptos"/>
                <w:color w:val="000000" w:themeColor="text1"/>
                <w:sz w:val="22"/>
                <w:szCs w:val="22"/>
              </w:rPr>
              <w:t xml:space="preserve">senior management identify progress in relation to </w:t>
            </w:r>
            <w:proofErr w:type="gramStart"/>
            <w:r w:rsidR="009F58AE">
              <w:rPr>
                <w:rFonts w:ascii="Aptos" w:eastAsia="Aptos" w:hAnsi="Aptos" w:cs="Aptos"/>
                <w:b/>
                <w:bCs/>
                <w:color w:val="000000" w:themeColor="text1"/>
                <w:sz w:val="22"/>
                <w:szCs w:val="22"/>
              </w:rPr>
              <w:t>patient</w:t>
            </w:r>
            <w:r>
              <w:rPr>
                <w:rFonts w:ascii="Aptos" w:eastAsia="Aptos" w:hAnsi="Aptos" w:cs="Aptos"/>
                <w:b/>
                <w:bCs/>
                <w:color w:val="000000" w:themeColor="text1"/>
                <w:sz w:val="22"/>
                <w:szCs w:val="22"/>
              </w:rPr>
              <w:t>s’</w:t>
            </w:r>
            <w:proofErr w:type="gramEnd"/>
            <w:r>
              <w:rPr>
                <w:rFonts w:ascii="Aptos" w:eastAsia="Aptos" w:hAnsi="Aptos" w:cs="Aptos"/>
                <w:b/>
                <w:bCs/>
                <w:color w:val="000000" w:themeColor="text1"/>
                <w:sz w:val="22"/>
                <w:szCs w:val="22"/>
              </w:rPr>
              <w:t xml:space="preserve"> defined outcomes</w:t>
            </w:r>
            <w:r>
              <w:rPr>
                <w:rFonts w:ascii="Aptos" w:eastAsia="Aptos" w:hAnsi="Aptos" w:cs="Aptos"/>
                <w:color w:val="000000" w:themeColor="text1"/>
                <w:sz w:val="22"/>
                <w:szCs w:val="22"/>
              </w:rPr>
              <w:t>.</w:t>
            </w:r>
          </w:p>
          <w:p w14:paraId="312475A2" w14:textId="74718857" w:rsidR="00DD469B" w:rsidRDefault="00A824C9">
            <w:pPr>
              <w:pStyle w:val="ListParagraph"/>
              <w:numPr>
                <w:ilvl w:val="0"/>
                <w:numId w:val="12"/>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Where inequities persist, in relation to </w:t>
            </w:r>
            <w:r>
              <w:rPr>
                <w:rFonts w:ascii="Aptos" w:eastAsia="Aptos" w:hAnsi="Aptos" w:cs="Aptos"/>
                <w:b/>
                <w:bCs/>
                <w:color w:val="000000" w:themeColor="text1"/>
                <w:sz w:val="22"/>
                <w:szCs w:val="22"/>
              </w:rPr>
              <w:t>access</w:t>
            </w:r>
            <w:r>
              <w:rPr>
                <w:rFonts w:ascii="Aptos" w:eastAsia="Aptos" w:hAnsi="Aptos" w:cs="Aptos"/>
                <w:color w:val="000000" w:themeColor="text1"/>
                <w:sz w:val="22"/>
                <w:szCs w:val="22"/>
              </w:rPr>
              <w:t xml:space="preserve">, or </w:t>
            </w:r>
            <w:r w:rsidR="009F58AE">
              <w:rPr>
                <w:rFonts w:ascii="Aptos" w:eastAsia="Aptos" w:hAnsi="Aptos" w:cs="Aptos"/>
                <w:b/>
                <w:bCs/>
                <w:color w:val="000000" w:themeColor="text1"/>
                <w:sz w:val="22"/>
                <w:szCs w:val="22"/>
              </w:rPr>
              <w:t xml:space="preserve">patient </w:t>
            </w:r>
            <w:r>
              <w:rPr>
                <w:rFonts w:ascii="Aptos" w:eastAsia="Aptos" w:hAnsi="Aptos" w:cs="Aptos"/>
                <w:b/>
                <w:bCs/>
                <w:color w:val="000000" w:themeColor="text1"/>
                <w:sz w:val="22"/>
                <w:szCs w:val="22"/>
              </w:rPr>
              <w:t>defined outcomes</w:t>
            </w:r>
            <w:r>
              <w:rPr>
                <w:rFonts w:ascii="Aptos" w:eastAsia="Aptos" w:hAnsi="Aptos" w:cs="Aptos"/>
                <w:color w:val="000000" w:themeColor="text1"/>
                <w:sz w:val="22"/>
                <w:szCs w:val="22"/>
              </w:rPr>
              <w:t>, proactive, equity-oriented approaches and practical steps to address these are taken.</w:t>
            </w:r>
          </w:p>
        </w:tc>
        <w:tc>
          <w:tcPr>
            <w:tcW w:w="2990" w:type="dxa"/>
            <w:tcBorders>
              <w:right w:val="single" w:sz="6" w:space="0" w:color="auto"/>
            </w:tcBorders>
            <w:tcMar>
              <w:left w:w="60" w:type="dxa"/>
              <w:right w:w="60" w:type="dxa"/>
            </w:tcMar>
          </w:tcPr>
          <w:p w14:paraId="5EC1A36A" w14:textId="6F375507" w:rsidR="00DD469B" w:rsidRPr="00764AAA" w:rsidRDefault="00A824C9" w:rsidP="00764AAA">
            <w:pPr>
              <w:pStyle w:val="ListParagraph"/>
              <w:numPr>
                <w:ilvl w:val="0"/>
                <w:numId w:val="12"/>
              </w:numPr>
              <w:rPr>
                <w:rFonts w:ascii="Aptos" w:eastAsia="Aptos" w:hAnsi="Aptos" w:cs="Aptos"/>
                <w:color w:val="000000" w:themeColor="text1"/>
                <w:sz w:val="22"/>
                <w:szCs w:val="22"/>
              </w:rPr>
            </w:pPr>
            <w:r w:rsidRPr="00764AAA">
              <w:rPr>
                <w:rFonts w:ascii="Aptos" w:eastAsia="Aptos" w:hAnsi="Aptos" w:cs="Aptos"/>
                <w:color w:val="000000" w:themeColor="text1"/>
                <w:sz w:val="22"/>
                <w:szCs w:val="22"/>
              </w:rPr>
              <w:t xml:space="preserve">Organisational reports demonstrate engagement with ethnically diverse people with lived experience to develop </w:t>
            </w:r>
            <w:r w:rsidR="009F58AE">
              <w:rPr>
                <w:rFonts w:ascii="Aptos" w:eastAsia="Aptos" w:hAnsi="Aptos" w:cs="Aptos"/>
                <w:b/>
                <w:bCs/>
                <w:color w:val="000000" w:themeColor="text1"/>
                <w:sz w:val="22"/>
                <w:szCs w:val="22"/>
              </w:rPr>
              <w:t>patient</w:t>
            </w:r>
            <w:r w:rsidRPr="00764AAA">
              <w:rPr>
                <w:rFonts w:ascii="Aptos" w:eastAsia="Aptos" w:hAnsi="Aptos" w:cs="Aptos"/>
                <w:b/>
                <w:bCs/>
                <w:color w:val="000000" w:themeColor="text1"/>
                <w:sz w:val="22"/>
                <w:szCs w:val="22"/>
              </w:rPr>
              <w:t xml:space="preserve"> defined outputs and outcomes</w:t>
            </w:r>
          </w:p>
          <w:p w14:paraId="45A6F200" w14:textId="178018BD" w:rsidR="00DD469B" w:rsidRPr="00764AAA" w:rsidRDefault="00A824C9" w:rsidP="00764AAA">
            <w:pPr>
              <w:pStyle w:val="ListParagraph"/>
              <w:numPr>
                <w:ilvl w:val="0"/>
                <w:numId w:val="12"/>
              </w:numPr>
              <w:rPr>
                <w:rFonts w:ascii="Aptos" w:eastAsia="Aptos" w:hAnsi="Aptos" w:cs="Aptos"/>
                <w:color w:val="000000" w:themeColor="text1"/>
                <w:sz w:val="22"/>
                <w:szCs w:val="22"/>
              </w:rPr>
            </w:pPr>
            <w:r w:rsidRPr="00764AAA">
              <w:rPr>
                <w:rFonts w:ascii="Aptos" w:eastAsia="Aptos" w:hAnsi="Aptos" w:cs="Aptos"/>
                <w:color w:val="000000" w:themeColor="text1"/>
                <w:sz w:val="22"/>
                <w:szCs w:val="22"/>
              </w:rPr>
              <w:t xml:space="preserve">Organisational reports illustrate efforts to collect accurate and complete ethnic monitoring data and appraisal of this in relation to </w:t>
            </w:r>
            <w:r w:rsidR="009F58AE">
              <w:rPr>
                <w:rFonts w:ascii="Aptos" w:eastAsia="Aptos" w:hAnsi="Aptos" w:cs="Aptos"/>
                <w:b/>
                <w:bCs/>
                <w:color w:val="000000" w:themeColor="text1"/>
                <w:sz w:val="22"/>
                <w:szCs w:val="22"/>
              </w:rPr>
              <w:t xml:space="preserve">patient </w:t>
            </w:r>
            <w:r w:rsidRPr="00764AAA">
              <w:rPr>
                <w:rFonts w:ascii="Aptos" w:eastAsia="Aptos" w:hAnsi="Aptos" w:cs="Aptos"/>
                <w:b/>
                <w:bCs/>
                <w:color w:val="000000" w:themeColor="text1"/>
                <w:sz w:val="22"/>
                <w:szCs w:val="22"/>
              </w:rPr>
              <w:t>defined outcomes.</w:t>
            </w:r>
          </w:p>
          <w:p w14:paraId="309EB155" w14:textId="4B52ADDF" w:rsidR="00DD469B" w:rsidRPr="00764AAA" w:rsidRDefault="00A824C9" w:rsidP="00764AAA">
            <w:pPr>
              <w:pStyle w:val="ListParagraph"/>
              <w:numPr>
                <w:ilvl w:val="0"/>
                <w:numId w:val="12"/>
              </w:numPr>
              <w:rPr>
                <w:rFonts w:ascii="Aptos" w:eastAsia="Aptos" w:hAnsi="Aptos" w:cs="Aptos"/>
                <w:color w:val="000000" w:themeColor="text1"/>
                <w:sz w:val="22"/>
                <w:szCs w:val="22"/>
              </w:rPr>
            </w:pPr>
            <w:r w:rsidRPr="00764AAA">
              <w:rPr>
                <w:rFonts w:ascii="Aptos" w:eastAsia="Aptos" w:hAnsi="Aptos" w:cs="Aptos"/>
                <w:color w:val="000000" w:themeColor="text1"/>
                <w:sz w:val="22"/>
                <w:szCs w:val="22"/>
              </w:rPr>
              <w:t>Organisational reports should identify decisions and actions taken (targeted engagement, focus and intensified awareness raising) in relation to persistent inequitie</w:t>
            </w:r>
            <w:r w:rsidR="00A23E72">
              <w:rPr>
                <w:rFonts w:ascii="Aptos" w:eastAsia="Aptos" w:hAnsi="Aptos" w:cs="Aptos"/>
                <w:color w:val="000000" w:themeColor="text1"/>
                <w:sz w:val="22"/>
                <w:szCs w:val="22"/>
              </w:rPr>
              <w:t xml:space="preserve">s (disproportionate </w:t>
            </w:r>
            <w:r w:rsidR="00CE58FA">
              <w:rPr>
                <w:rFonts w:ascii="Aptos" w:eastAsia="Aptos" w:hAnsi="Aptos" w:cs="Aptos"/>
                <w:color w:val="000000" w:themeColor="text1"/>
                <w:sz w:val="22"/>
                <w:szCs w:val="22"/>
              </w:rPr>
              <w:t>underutilisation</w:t>
            </w:r>
            <w:r w:rsidR="00A23E72">
              <w:rPr>
                <w:rFonts w:ascii="Aptos" w:eastAsia="Aptos" w:hAnsi="Aptos" w:cs="Aptos"/>
                <w:color w:val="000000" w:themeColor="text1"/>
                <w:sz w:val="22"/>
                <w:szCs w:val="22"/>
              </w:rPr>
              <w:t xml:space="preserve"> or poor experience of  CAA). </w:t>
            </w:r>
          </w:p>
          <w:p w14:paraId="5305E0B8" w14:textId="77777777" w:rsidR="00DD469B" w:rsidRDefault="00DD469B">
            <w:pPr>
              <w:rPr>
                <w:rFonts w:ascii="Aptos" w:eastAsia="Aptos" w:hAnsi="Aptos" w:cs="Aptos"/>
                <w:color w:val="000000" w:themeColor="text1"/>
                <w:sz w:val="22"/>
                <w:szCs w:val="22"/>
              </w:rPr>
            </w:pPr>
          </w:p>
        </w:tc>
      </w:tr>
      <w:tr w:rsidR="00DD469B" w14:paraId="29B5055B" w14:textId="77777777">
        <w:trPr>
          <w:trHeight w:val="300"/>
        </w:trPr>
        <w:tc>
          <w:tcPr>
            <w:tcW w:w="2990" w:type="dxa"/>
            <w:tcBorders>
              <w:left w:val="single" w:sz="6" w:space="0" w:color="auto"/>
              <w:bottom w:val="single" w:sz="6" w:space="0" w:color="auto"/>
            </w:tcBorders>
            <w:tcMar>
              <w:left w:w="60" w:type="dxa"/>
              <w:right w:w="60" w:type="dxa"/>
            </w:tcMar>
          </w:tcPr>
          <w:p w14:paraId="21DAA4B8" w14:textId="77777777" w:rsidR="00DD469B" w:rsidRDefault="00A824C9">
            <w:pPr>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 xml:space="preserve">3d) Advocates are supported to perform culturally sensitive advocacy roles.   </w:t>
            </w:r>
          </w:p>
          <w:p w14:paraId="5BEDE615" w14:textId="77777777" w:rsidR="00DD469B" w:rsidRDefault="00DD469B">
            <w:pPr>
              <w:rPr>
                <w:rFonts w:ascii="Aptos" w:eastAsia="Aptos" w:hAnsi="Aptos" w:cs="Aptos"/>
                <w:color w:val="000000" w:themeColor="text1"/>
                <w:sz w:val="22"/>
                <w:szCs w:val="22"/>
              </w:rPr>
            </w:pPr>
          </w:p>
        </w:tc>
        <w:tc>
          <w:tcPr>
            <w:tcW w:w="2990" w:type="dxa"/>
            <w:tcBorders>
              <w:bottom w:val="single" w:sz="6" w:space="0" w:color="auto"/>
            </w:tcBorders>
            <w:tcMar>
              <w:left w:w="60" w:type="dxa"/>
              <w:right w:w="60" w:type="dxa"/>
            </w:tcMar>
          </w:tcPr>
          <w:p w14:paraId="50A09928"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Advocacy organisations ensure advocates receive comprehensive initial and ongoing coaching and training around racial equity.</w:t>
            </w:r>
          </w:p>
          <w:p w14:paraId="3C207217"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Training and coaching should be co-produced and informed by and grounded in lived experience.</w:t>
            </w:r>
          </w:p>
          <w:p w14:paraId="43C5BF09"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Historical and contemporary issues relating to power and racial injustice, should be incorporated into staff training.  </w:t>
            </w:r>
          </w:p>
          <w:p w14:paraId="143E9E94" w14:textId="77777777" w:rsidR="00DD469B" w:rsidRDefault="00DD469B">
            <w:pPr>
              <w:rPr>
                <w:rFonts w:ascii="Aptos" w:eastAsia="Aptos" w:hAnsi="Aptos" w:cs="Aptos"/>
                <w:color w:val="000000" w:themeColor="text1"/>
                <w:sz w:val="22"/>
                <w:szCs w:val="22"/>
              </w:rPr>
            </w:pPr>
          </w:p>
        </w:tc>
        <w:tc>
          <w:tcPr>
            <w:tcW w:w="2990" w:type="dxa"/>
            <w:tcBorders>
              <w:bottom w:val="single" w:sz="6" w:space="0" w:color="auto"/>
              <w:right w:val="single" w:sz="6" w:space="0" w:color="auto"/>
            </w:tcBorders>
            <w:tcMar>
              <w:left w:w="60" w:type="dxa"/>
              <w:right w:w="60" w:type="dxa"/>
            </w:tcMar>
          </w:tcPr>
          <w:p w14:paraId="4156533B"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All new staff receive initial training around culturally sensitive practice incorporating cultural curiosity and cultural humility. </w:t>
            </w:r>
          </w:p>
          <w:p w14:paraId="27C3D281"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Ongoing learning opportunities are provided mandatory, at least six monthly. </w:t>
            </w:r>
          </w:p>
          <w:p w14:paraId="1E6F7110"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AP feedback indicates advocates provide culturally sensitive support</w:t>
            </w:r>
          </w:p>
          <w:p w14:paraId="647F0B74" w14:textId="77777777" w:rsidR="00DD469B" w:rsidRDefault="00A824C9">
            <w:pPr>
              <w:pStyle w:val="ListParagraph"/>
              <w:numPr>
                <w:ilvl w:val="0"/>
                <w:numId w:val="13"/>
              </w:numPr>
              <w:spacing w:after="0" w:line="240"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Advocacy staff report feeling confident in their ability to provide advocacy to racially minoritised AP’s. </w:t>
            </w:r>
          </w:p>
          <w:p w14:paraId="34513041" w14:textId="77777777" w:rsidR="00DD469B" w:rsidRDefault="00DD469B">
            <w:pPr>
              <w:rPr>
                <w:rFonts w:ascii="Aptos" w:eastAsia="Aptos" w:hAnsi="Aptos" w:cs="Aptos"/>
                <w:color w:val="000000" w:themeColor="text1"/>
                <w:sz w:val="22"/>
                <w:szCs w:val="22"/>
              </w:rPr>
            </w:pPr>
          </w:p>
        </w:tc>
      </w:tr>
    </w:tbl>
    <w:p w14:paraId="209B4270" w14:textId="77777777" w:rsidR="00DD469B" w:rsidRDefault="00DD469B">
      <w:pPr>
        <w:rPr>
          <w:rFonts w:ascii="Times New Roman" w:eastAsia="Aptos" w:hAnsi="Times New Roman" w:cs="Times New Roman"/>
          <w:color w:val="000000" w:themeColor="text1"/>
        </w:rPr>
      </w:pPr>
    </w:p>
    <w:p w14:paraId="1D3474E6" w14:textId="77777777" w:rsidR="00DD469B" w:rsidRDefault="00DD469B"/>
    <w:sectPr w:rsidR="00DD46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7D32" w14:textId="77777777" w:rsidR="007E1867" w:rsidRDefault="007E1867">
      <w:pPr>
        <w:spacing w:line="240" w:lineRule="auto"/>
      </w:pPr>
      <w:r>
        <w:separator/>
      </w:r>
    </w:p>
  </w:endnote>
  <w:endnote w:type="continuationSeparator" w:id="0">
    <w:p w14:paraId="128E7A99" w14:textId="77777777" w:rsidR="007E1867" w:rsidRDefault="007E1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00D3" w14:textId="77777777" w:rsidR="007E1867" w:rsidRDefault="007E1867">
      <w:pPr>
        <w:spacing w:after="0"/>
      </w:pPr>
      <w:r>
        <w:separator/>
      </w:r>
    </w:p>
  </w:footnote>
  <w:footnote w:type="continuationSeparator" w:id="0">
    <w:p w14:paraId="66B0127C" w14:textId="77777777" w:rsidR="007E1867" w:rsidRDefault="007E18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2A36"/>
    <w:multiLevelType w:val="multilevel"/>
    <w:tmpl w:val="04332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AF09FD"/>
    <w:multiLevelType w:val="multilevel"/>
    <w:tmpl w:val="0EAF0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BF11BE"/>
    <w:multiLevelType w:val="multilevel"/>
    <w:tmpl w:val="19BF1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3B3C4A"/>
    <w:multiLevelType w:val="multilevel"/>
    <w:tmpl w:val="1B3B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053774"/>
    <w:multiLevelType w:val="multilevel"/>
    <w:tmpl w:val="35053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6A46A6"/>
    <w:multiLevelType w:val="multilevel"/>
    <w:tmpl w:val="5A6A4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956BAF"/>
    <w:multiLevelType w:val="multilevel"/>
    <w:tmpl w:val="69956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CEC05F"/>
    <w:multiLevelType w:val="multilevel"/>
    <w:tmpl w:val="6DCEC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1B0832"/>
    <w:multiLevelType w:val="multilevel"/>
    <w:tmpl w:val="761B083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9167C4E"/>
    <w:multiLevelType w:val="multilevel"/>
    <w:tmpl w:val="79167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D663FA"/>
    <w:multiLevelType w:val="multilevel"/>
    <w:tmpl w:val="79D663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41219D"/>
    <w:multiLevelType w:val="multilevel"/>
    <w:tmpl w:val="7B412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78626E"/>
    <w:multiLevelType w:val="multilevel"/>
    <w:tmpl w:val="7B786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81272413">
    <w:abstractNumId w:val="10"/>
  </w:num>
  <w:num w:numId="2" w16cid:durableId="3628258">
    <w:abstractNumId w:val="1"/>
  </w:num>
  <w:num w:numId="3" w16cid:durableId="985546842">
    <w:abstractNumId w:val="8"/>
  </w:num>
  <w:num w:numId="4" w16cid:durableId="1339503278">
    <w:abstractNumId w:val="4"/>
  </w:num>
  <w:num w:numId="5" w16cid:durableId="1200894047">
    <w:abstractNumId w:val="3"/>
  </w:num>
  <w:num w:numId="6" w16cid:durableId="47462822">
    <w:abstractNumId w:val="0"/>
  </w:num>
  <w:num w:numId="7" w16cid:durableId="978608182">
    <w:abstractNumId w:val="2"/>
  </w:num>
  <w:num w:numId="8" w16cid:durableId="572545838">
    <w:abstractNumId w:val="6"/>
  </w:num>
  <w:num w:numId="9" w16cid:durableId="111242450">
    <w:abstractNumId w:val="11"/>
  </w:num>
  <w:num w:numId="10" w16cid:durableId="849680376">
    <w:abstractNumId w:val="12"/>
  </w:num>
  <w:num w:numId="11" w16cid:durableId="447748674">
    <w:abstractNumId w:val="7"/>
  </w:num>
  <w:num w:numId="12" w16cid:durableId="1735349391">
    <w:abstractNumId w:val="5"/>
  </w:num>
  <w:num w:numId="13" w16cid:durableId="467669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73"/>
    <w:rsid w:val="000139FF"/>
    <w:rsid w:val="00060016"/>
    <w:rsid w:val="000657BC"/>
    <w:rsid w:val="000B494A"/>
    <w:rsid w:val="000F1FC6"/>
    <w:rsid w:val="000F78AF"/>
    <w:rsid w:val="001E5EBE"/>
    <w:rsid w:val="002202DB"/>
    <w:rsid w:val="00230B0F"/>
    <w:rsid w:val="002368B0"/>
    <w:rsid w:val="002561E3"/>
    <w:rsid w:val="00275BD9"/>
    <w:rsid w:val="002A0595"/>
    <w:rsid w:val="002A33D5"/>
    <w:rsid w:val="002A41A1"/>
    <w:rsid w:val="002C76E1"/>
    <w:rsid w:val="002D2D1C"/>
    <w:rsid w:val="002F6273"/>
    <w:rsid w:val="00324FD4"/>
    <w:rsid w:val="003C22EF"/>
    <w:rsid w:val="003F7813"/>
    <w:rsid w:val="004242FB"/>
    <w:rsid w:val="00456082"/>
    <w:rsid w:val="00490FB8"/>
    <w:rsid w:val="00527F11"/>
    <w:rsid w:val="00532D65"/>
    <w:rsid w:val="0055674A"/>
    <w:rsid w:val="005F4D11"/>
    <w:rsid w:val="0061752C"/>
    <w:rsid w:val="006334DD"/>
    <w:rsid w:val="00653A0F"/>
    <w:rsid w:val="006E25B9"/>
    <w:rsid w:val="00705C6D"/>
    <w:rsid w:val="007213D8"/>
    <w:rsid w:val="00752B6E"/>
    <w:rsid w:val="00764AAA"/>
    <w:rsid w:val="007E1867"/>
    <w:rsid w:val="00852B74"/>
    <w:rsid w:val="008962A4"/>
    <w:rsid w:val="00896D0C"/>
    <w:rsid w:val="008A11D0"/>
    <w:rsid w:val="008A6A2A"/>
    <w:rsid w:val="008F5055"/>
    <w:rsid w:val="00915BDD"/>
    <w:rsid w:val="009328B3"/>
    <w:rsid w:val="009578CE"/>
    <w:rsid w:val="009814D7"/>
    <w:rsid w:val="009F58AE"/>
    <w:rsid w:val="00A23E72"/>
    <w:rsid w:val="00A33167"/>
    <w:rsid w:val="00A37182"/>
    <w:rsid w:val="00A824C9"/>
    <w:rsid w:val="00AA1351"/>
    <w:rsid w:val="00AA3F33"/>
    <w:rsid w:val="00AC4EE1"/>
    <w:rsid w:val="00B10495"/>
    <w:rsid w:val="00B30465"/>
    <w:rsid w:val="00B47AD8"/>
    <w:rsid w:val="00B51801"/>
    <w:rsid w:val="00B8598F"/>
    <w:rsid w:val="00BC171B"/>
    <w:rsid w:val="00BF0CC8"/>
    <w:rsid w:val="00C3028E"/>
    <w:rsid w:val="00C33B5A"/>
    <w:rsid w:val="00C401FF"/>
    <w:rsid w:val="00C4664D"/>
    <w:rsid w:val="00C5597A"/>
    <w:rsid w:val="00CB01D7"/>
    <w:rsid w:val="00CE58FA"/>
    <w:rsid w:val="00CF36DB"/>
    <w:rsid w:val="00D149BA"/>
    <w:rsid w:val="00D22D67"/>
    <w:rsid w:val="00D27DDE"/>
    <w:rsid w:val="00D91F58"/>
    <w:rsid w:val="00DA0617"/>
    <w:rsid w:val="00DD4621"/>
    <w:rsid w:val="00DD469B"/>
    <w:rsid w:val="00EC1381"/>
    <w:rsid w:val="00EE43A4"/>
    <w:rsid w:val="00F12BBB"/>
    <w:rsid w:val="00F24073"/>
    <w:rsid w:val="00F33856"/>
    <w:rsid w:val="00F52A5F"/>
    <w:rsid w:val="00F973FE"/>
    <w:rsid w:val="00FC5908"/>
    <w:rsid w:val="283B23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44D8"/>
  <w15:docId w15:val="{D5F51D93-3395-444B-8F47-5CE72191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imes New Roman" w:eastAsiaTheme="majorEastAsia" w:hAnsi="Times New Roman" w:cstheme="majorBidi"/>
      <w:b/>
      <w:color w:val="0E2841" w:themeColor="text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kern w:val="0"/>
      <w:sz w:val="28"/>
      <w:szCs w:val="40"/>
      <w:lang w:eastAsia="ja-JP"/>
      <w14:ligatures w14:val="none"/>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E2841" w:themeColor="text2"/>
      <w:kern w:val="0"/>
      <w:szCs w:val="32"/>
      <w:lang w:eastAsia="ja-JP"/>
      <w14:ligatures w14:val="none"/>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qFormat/>
    <w:rPr>
      <w:rFonts w:asciiTheme="minorHAnsi" w:eastAsiaTheme="minorEastAsia" w:hAnsiTheme="minorHAnsi" w:cstheme="minorBidi"/>
      <w:sz w:val="24"/>
      <w:szCs w:val="24"/>
    </w:rPr>
  </w:style>
  <w:style w:type="character" w:customStyle="1" w:styleId="ListParagraphChar">
    <w:name w:val="List Paragraph Char"/>
    <w:link w:val="ListParagraph"/>
    <w:uiPriority w:val="34"/>
    <w:qFormat/>
    <w:locked/>
  </w:style>
  <w:style w:type="character" w:customStyle="1" w:styleId="CommentTextChar">
    <w:name w:val="Comment Text Char"/>
    <w:basedOn w:val="DefaultParagraphFont"/>
    <w:link w:val="CommentText"/>
    <w:uiPriority w:val="99"/>
    <w:semiHidden/>
    <w:qFormat/>
    <w:rPr>
      <w:rFonts w:eastAsiaTheme="minorEastAsia"/>
      <w:kern w:val="0"/>
      <w:sz w:val="20"/>
      <w:szCs w:val="20"/>
      <w:lang w:eastAsia="ja-JP"/>
      <w14:ligatures w14:val="none"/>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lang w:eastAsia="ja-JP"/>
      <w14:ligatures w14:val="none"/>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0"/>
      <w:sz w:val="18"/>
      <w:szCs w:val="18"/>
      <w:lang w:eastAsia="ja-JP"/>
      <w14:ligatures w14:val="none"/>
    </w:rPr>
  </w:style>
  <w:style w:type="paragraph" w:customStyle="1" w:styleId="Revision1">
    <w:name w:val="Revision1"/>
    <w:hidden/>
    <w:uiPriority w:val="99"/>
    <w:semiHidden/>
    <w:qFormat/>
    <w:rPr>
      <w:rFonts w:eastAsiaTheme="minorEastAsia"/>
      <w:sz w:val="24"/>
      <w:szCs w:val="24"/>
      <w:lang w:eastAsia="ja-JP"/>
    </w:rPr>
  </w:style>
  <w:style w:type="paragraph" w:styleId="Revision">
    <w:name w:val="Revision"/>
    <w:hidden/>
    <w:uiPriority w:val="99"/>
    <w:unhideWhenUsed/>
    <w:rsid w:val="00F973FE"/>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1454</Words>
  <Characters>9075</Characters>
  <Application>Microsoft Office Word</Application>
  <DocSecurity>0</DocSecurity>
  <Lines>605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 Anthony</dc:creator>
  <cp:lastModifiedBy>Salla, Anthony</cp:lastModifiedBy>
  <cp:revision>9</cp:revision>
  <dcterms:created xsi:type="dcterms:W3CDTF">2026-03-11T11:08:00Z</dcterms:created>
  <dcterms:modified xsi:type="dcterms:W3CDTF">2026-03-19T15:50:00Z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2026-02-02T15:52:40Z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fedec597-ac23-45ba-8c38-77f0fb04de0a</vt:lpwstr>
  </property>
  <property fmtid="{D5CDD505-2E9C-101B-9397-08002B2CF9AE}" pid="8" name="MSIP_Label_06c24981-b6df-48f8-949b-0896357b9b03_ContentBits">
    <vt:lpwstr>0</vt:lpwstr>
  </property>
  <property fmtid="{D5CDD505-2E9C-101B-9397-08002B2CF9AE}" pid="9" name="MSIP_Label_06c24981-b6df-48f8-949b-0896357b9b03_Tag">
    <vt:lpwstr>50, 3, 0, 1</vt:lpwstr>
  </property>
  <property fmtid="{D5CDD505-2E9C-101B-9397-08002B2CF9AE}" pid="10" name="KSOProductBuildVer">
    <vt:lpwstr>2057-12.2.0.23196</vt:lpwstr>
  </property>
  <property fmtid="{D5CDD505-2E9C-101B-9397-08002B2CF9AE}" pid="11" name="ICV">
    <vt:lpwstr>C812C732AE9144E59F7C7012F90CC45C_13</vt:lpwstr>
  </property>
</Properties>
</file>