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AE8F76">
      <w:pPr>
        <w:spacing w:line="240" w:lineRule="auto"/>
        <w:jc w:val="both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Supplementary File</w:t>
      </w:r>
    </w:p>
    <w:p w14:paraId="4BC3ADC9">
      <w:pPr>
        <w:spacing w:line="240" w:lineRule="auto"/>
        <w:jc w:val="both"/>
        <w:rPr>
          <w:rFonts w:ascii="Times New Roman" w:hAnsi="Times New Roman" w:eastAsia="Calibri" w:cs="Times New Roman"/>
          <w:b/>
          <w:bCs/>
          <w:kern w:val="0"/>
          <w14:ligatures w14:val="none"/>
        </w:rPr>
      </w:pPr>
      <w:r>
        <w:rPr>
          <w:rFonts w:ascii="Times New Roman" w:hAnsi="Times New Roman" w:eastAsia="Calibri" w:cs="Times New Roman"/>
          <w:b/>
          <w:bCs/>
          <w:kern w:val="0"/>
          <w14:ligatures w14:val="none"/>
        </w:rPr>
        <w:t>Phytochemicals can counteract breast cancer by restoring autophagic flux and disrupting the LC3B–p62–Nrf2 feedback loop</w:t>
      </w:r>
    </w:p>
    <w:p w14:paraId="6EBF945B">
      <w:pPr>
        <w:spacing w:line="240" w:lineRule="auto"/>
        <w:jc w:val="both"/>
        <w:rPr>
          <w:rFonts w:ascii="Times New Roman" w:hAnsi="Times New Roman" w:eastAsia="Calibri" w:cs="Times New Roman"/>
          <w:kern w:val="0"/>
          <w14:ligatures w14:val="none"/>
        </w:rPr>
      </w:pPr>
      <w:r>
        <w:rPr>
          <w:rFonts w:ascii="Times New Roman" w:hAnsi="Times New Roman" w:eastAsia="Calibri" w:cs="Times New Roman"/>
          <w:b/>
          <w:bCs/>
          <w:kern w:val="0"/>
          <w14:ligatures w14:val="none"/>
        </w:rPr>
        <w:t xml:space="preserve">Author   &amp;   Coauthors:  </w:t>
      </w:r>
      <w:r>
        <w:rPr>
          <w:rFonts w:ascii="Times New Roman" w:hAnsi="Times New Roman" w:eastAsia="Calibri" w:cs="Times New Roman"/>
          <w:kern w:val="0"/>
          <w14:ligatures w14:val="none"/>
        </w:rPr>
        <w:t>Mehreen Aftab</w:t>
      </w:r>
      <w:r>
        <w:rPr>
          <w:rFonts w:ascii="Times New Roman" w:hAnsi="Times New Roman" w:eastAsia="Calibri" w:cs="Times New Roman"/>
          <w:kern w:val="0"/>
          <w:vertAlign w:val="superscript"/>
          <w:lang w:val="en-US"/>
          <w14:ligatures w14:val="none"/>
        </w:rPr>
        <w:t>1</w:t>
      </w:r>
      <w:r>
        <w:rPr>
          <w:rFonts w:hint="default" w:ascii="Times New Roman" w:hAnsi="Times New Roman" w:eastAsia="Calibri" w:cs="Times New Roman"/>
          <w:kern w:val="0"/>
          <w:vertAlign w:val="superscript"/>
          <w:lang w:val="en-IN"/>
          <w14:ligatures w14:val="none"/>
        </w:rPr>
        <w:t>,2*</w:t>
      </w:r>
      <w:r>
        <w:rPr>
          <w:rFonts w:ascii="Times New Roman" w:hAnsi="Times New Roman" w:eastAsia="Calibri" w:cs="Times New Roman"/>
          <w:kern w:val="0"/>
          <w14:ligatures w14:val="none"/>
        </w:rPr>
        <w:t>, Kamran   Waidha</w:t>
      </w:r>
      <w:r>
        <w:rPr>
          <w:rFonts w:hint="default" w:ascii="Times New Roman" w:hAnsi="Times New Roman" w:eastAsia="Calibri" w:cs="Times New Roman"/>
          <w:kern w:val="0"/>
          <w:vertAlign w:val="superscript"/>
          <w:lang w:val="en-IN"/>
          <w14:ligatures w14:val="none"/>
        </w:rPr>
        <w:t>3</w:t>
      </w:r>
      <w:r>
        <w:rPr>
          <w:rFonts w:ascii="Times New Roman" w:hAnsi="Times New Roman" w:eastAsia="Calibri" w:cs="Times New Roman"/>
          <w:kern w:val="0"/>
          <w14:ligatures w14:val="none"/>
        </w:rPr>
        <w:t>, Shagufta</w:t>
      </w:r>
      <w:r>
        <w:rPr>
          <w:rFonts w:hint="default" w:ascii="Times New Roman" w:hAnsi="Times New Roman" w:eastAsia="Calibri" w:cs="Times New Roman"/>
          <w:kern w:val="0"/>
          <w:lang w:val="en-IN"/>
          <w14:ligatures w14:val="none"/>
        </w:rPr>
        <w:t xml:space="preserve"> Khan</w:t>
      </w:r>
      <w:bookmarkStart w:id="0" w:name="_GoBack"/>
      <w:bookmarkEnd w:id="0"/>
      <w:r>
        <w:rPr>
          <w:rFonts w:ascii="Times New Roman" w:hAnsi="Times New Roman" w:eastAsia="Calibri" w:cs="Times New Roman"/>
          <w:kern w:val="0"/>
          <w:vertAlign w:val="superscript"/>
          <w14:ligatures w14:val="none"/>
        </w:rPr>
        <w:t>1</w:t>
      </w:r>
      <w:r>
        <w:rPr>
          <w:rFonts w:ascii="Times New Roman" w:hAnsi="Times New Roman" w:eastAsia="Calibri" w:cs="Times New Roman"/>
          <w:kern w:val="0"/>
          <w14:ligatures w14:val="none"/>
        </w:rPr>
        <w:t>,</w:t>
      </w:r>
      <w:r>
        <w:rPr>
          <w:rFonts w:ascii="Times New Roman" w:hAnsi="Times New Roman" w:cs="Times New Roman"/>
          <w:highlight w:val="none"/>
        </w:rPr>
        <w:t>Sandeep Sisodiya</w:t>
      </w:r>
      <w:r>
        <w:rPr>
          <w:rFonts w:ascii="Times New Roman" w:hAnsi="Times New Roman" w:cs="Times New Roman"/>
          <w:highlight w:val="none"/>
          <w:vertAlign w:val="superscript"/>
        </w:rPr>
        <w:t>1</w:t>
      </w:r>
      <w:r>
        <w:rPr>
          <w:rFonts w:hint="default" w:ascii="Times New Roman" w:hAnsi="Times New Roman" w:cs="Times New Roman"/>
          <w:highlight w:val="none"/>
          <w:vertAlign w:val="baseline"/>
          <w:lang w:val="en-IN"/>
        </w:rPr>
        <w:t>,</w:t>
      </w:r>
      <w:r>
        <w:rPr>
          <w:rFonts w:ascii="Times New Roman" w:hAnsi="Times New Roman" w:eastAsia="Calibri" w:cs="Times New Roman"/>
          <w:kern w:val="0"/>
          <w14:ligatures w14:val="none"/>
        </w:rPr>
        <w:t xml:space="preserve"> </w:t>
      </w:r>
      <w:r>
        <w:rPr>
          <w:rFonts w:ascii="Times New Roman" w:hAnsi="Times New Roman" w:eastAsia="Calibri" w:cs="Times New Roman"/>
          <w:kern w:val="0"/>
          <w:sz w:val="20"/>
          <w:szCs w:val="20"/>
          <w14:ligatures w14:val="none"/>
        </w:rPr>
        <w:t>A</w:t>
      </w:r>
      <w:r>
        <w:rPr>
          <w:rFonts w:ascii="Times New Roman" w:hAnsi="Times New Roman" w:eastAsia="Calibri" w:cs="Times New Roman"/>
          <w:kern w:val="0"/>
          <w14:ligatures w14:val="none"/>
        </w:rPr>
        <w:t>vi Golan-Goldhirsh</w:t>
      </w:r>
      <w:r>
        <w:rPr>
          <w:rFonts w:hint="default" w:ascii="Times New Roman" w:hAnsi="Times New Roman" w:eastAsia="Calibri" w:cs="Times New Roman"/>
          <w:kern w:val="0"/>
          <w:vertAlign w:val="superscript"/>
          <w:lang w:val="en-IN"/>
          <w14:ligatures w14:val="none"/>
        </w:rPr>
        <w:t>3</w:t>
      </w:r>
      <w:r>
        <w:rPr>
          <w:rFonts w:ascii="Times New Roman" w:hAnsi="Times New Roman" w:eastAsia="Calibri" w:cs="Times New Roman"/>
          <w:kern w:val="0"/>
          <w14:ligatures w14:val="none"/>
        </w:rPr>
        <w:t>, Jacob Gopas</w:t>
      </w:r>
      <w:r>
        <w:rPr>
          <w:rFonts w:hint="default" w:ascii="Times New Roman" w:hAnsi="Times New Roman" w:eastAsia="Calibri" w:cs="Times New Roman"/>
          <w:kern w:val="0"/>
          <w:vertAlign w:val="superscript"/>
          <w:lang w:val="en-IN"/>
          <w14:ligatures w14:val="none"/>
        </w:rPr>
        <w:t>4</w:t>
      </w:r>
      <w:r>
        <w:rPr>
          <w:rFonts w:ascii="Times New Roman" w:hAnsi="Times New Roman" w:eastAsia="Calibri" w:cs="Times New Roman"/>
          <w:kern w:val="0"/>
          <w14:ligatures w14:val="none"/>
        </w:rPr>
        <w:t>, Showket Hussain</w:t>
      </w:r>
      <w:r>
        <w:rPr>
          <w:rFonts w:ascii="Times New Roman" w:hAnsi="Times New Roman" w:eastAsia="Calibri" w:cs="Times New Roman"/>
          <w:kern w:val="0"/>
          <w:vertAlign w:val="superscript"/>
          <w:lang w:val="en-US"/>
          <w14:ligatures w14:val="none"/>
        </w:rPr>
        <w:t>1</w:t>
      </w:r>
    </w:p>
    <w:p w14:paraId="74ACD308">
      <w:pPr>
        <w:spacing w:line="240" w:lineRule="auto"/>
        <w:jc w:val="both"/>
        <w:rPr>
          <w:rFonts w:ascii="Times New Roman" w:hAnsi="Times New Roman" w:eastAsia="Calibri" w:cs="Times New Roman"/>
          <w:kern w:val="0"/>
          <w14:ligatures w14:val="none"/>
        </w:rPr>
      </w:pPr>
      <w:r>
        <w:rPr>
          <w:rFonts w:ascii="Times New Roman" w:hAnsi="Times New Roman" w:eastAsia="Calibri" w:cs="Times New Roman"/>
          <w:kern w:val="0"/>
          <w:vertAlign w:val="superscript"/>
          <w:lang w:val="en-US"/>
          <w14:ligatures w14:val="none"/>
        </w:rPr>
        <w:t>1</w:t>
      </w:r>
      <w:r>
        <w:rPr>
          <w:rFonts w:ascii="Times New Roman" w:hAnsi="Times New Roman" w:eastAsia="Calibri" w:cs="Times New Roman"/>
          <w:kern w:val="0"/>
          <w14:ligatures w14:val="none"/>
        </w:rPr>
        <w:t>Division of Cellular and Molecular Diagnostics (Molecular Biology Group), ICMR- National Institute of Cancer Prevention and Research, Sector- 39, Noida. Uttar Pradesh, India.</w:t>
      </w:r>
    </w:p>
    <w:p w14:paraId="0A4654A9">
      <w:pPr>
        <w:spacing w:line="240" w:lineRule="auto"/>
        <w:jc w:val="both"/>
        <w:rPr>
          <w:rFonts w:hint="default" w:ascii="Times New Roman" w:hAnsi="Times New Roman" w:eastAsia="Calibri" w:cs="Times New Roman"/>
          <w:kern w:val="0"/>
          <w:lang w:val="en-IN"/>
          <w14:ligatures w14:val="none"/>
        </w:rPr>
      </w:pPr>
      <w:r>
        <w:rPr>
          <w:rFonts w:hint="default" w:ascii="Times New Roman" w:hAnsi="Times New Roman" w:eastAsia="Calibri" w:cs="Times New Roman"/>
          <w:kern w:val="0"/>
          <w:vertAlign w:val="superscript"/>
          <w:lang w:val="en-IN"/>
          <w14:ligatures w14:val="none"/>
        </w:rPr>
        <w:t>2</w:t>
      </w:r>
      <w:r>
        <w:rPr>
          <w:rFonts w:hint="default" w:ascii="Times New Roman" w:hAnsi="Times New Roman" w:eastAsia="Calibri" w:cs="Times New Roman"/>
          <w:kern w:val="0"/>
          <w:lang w:val="en-IN"/>
          <w14:ligatures w14:val="none"/>
        </w:rPr>
        <w:t>Department of Molecular Medicine, School of Interdisciplinary Science, Jamia Hamdard, New Delhi, India</w:t>
      </w:r>
    </w:p>
    <w:p w14:paraId="080FD331">
      <w:pPr>
        <w:spacing w:line="240" w:lineRule="auto"/>
        <w:jc w:val="both"/>
        <w:rPr>
          <w:rFonts w:ascii="Times New Roman" w:hAnsi="Times New Roman" w:eastAsia="Calibri" w:cs="Times New Roman"/>
          <w:kern w:val="0"/>
          <w14:ligatures w14:val="none"/>
        </w:rPr>
      </w:pPr>
      <w:r>
        <w:rPr>
          <w:rFonts w:hint="default" w:ascii="Times New Roman" w:hAnsi="Times New Roman" w:eastAsia="Calibri" w:cs="Times New Roman"/>
          <w:kern w:val="0"/>
          <w:vertAlign w:val="superscript"/>
          <w:lang w:val="en-IN"/>
          <w14:ligatures w14:val="none"/>
        </w:rPr>
        <w:t>3</w:t>
      </w:r>
      <w:r>
        <w:rPr>
          <w:rFonts w:ascii="Times New Roman" w:hAnsi="Times New Roman" w:eastAsia="Calibri" w:cs="Times New Roman"/>
          <w:kern w:val="0"/>
          <w14:ligatures w14:val="none"/>
        </w:rPr>
        <w:t>The Jacob Blaustein Institutes for Desert Research (BIDR), French Associates Institute for Agriculture and Biotechnology of Drylands, Sede Boqer Campus, Ben Gurion University of the Negev, 84990 Israel.</w:t>
      </w:r>
    </w:p>
    <w:p w14:paraId="7EBC6F9E"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kern w:val="0"/>
          <w:vertAlign w:val="superscript"/>
          <w:lang w:val="en-IN"/>
          <w14:ligatures w14:val="none"/>
        </w:rPr>
        <w:t>4</w:t>
      </w:r>
      <w:r>
        <w:rPr>
          <w:rFonts w:ascii="Times New Roman" w:hAnsi="Times New Roman" w:eastAsia="Calibri" w:cs="Times New Roman"/>
          <w:kern w:val="0"/>
          <w14:ligatures w14:val="none"/>
        </w:rPr>
        <w:t>The Shraga Segal Department of Microbiology, Immunology and Genetics Faculty of Health Sciences, Ben-Gurion University of the Negev, Beer Sheva 8410501, Israel.</w:t>
      </w:r>
    </w:p>
    <w:p w14:paraId="5F87EFC6"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eastAsia="Aptos" w:cs="Times New Roman"/>
          <w:b/>
          <w:bCs/>
          <w:kern w:val="2"/>
          <w:sz w:val="24"/>
          <w:szCs w:val="24"/>
          <w14:ligatures w14:val="standardContextual"/>
        </w:rPr>
        <w:t>*Corresponding author</w:t>
      </w:r>
      <w:r>
        <w:rPr>
          <w:rFonts w:hint="default" w:ascii="Times New Roman" w:hAnsi="Times New Roman" w:eastAsia="Aptos" w:cs="Times New Roman"/>
          <w:b/>
          <w:bCs/>
          <w:kern w:val="2"/>
          <w:sz w:val="24"/>
          <w:szCs w:val="24"/>
          <w:lang w:val="en-IN"/>
          <w14:ligatures w14:val="standardContextual"/>
        </w:rPr>
        <w:t>s</w:t>
      </w:r>
    </w:p>
    <w:p w14:paraId="7D067324">
      <w:pPr>
        <w:spacing w:line="240" w:lineRule="auto"/>
        <w:jc w:val="both"/>
        <w:rPr>
          <w:rFonts w:hint="default" w:ascii="Times New Roman" w:hAnsi="Times New Roman" w:eastAsia="Aptos" w:cs="Times New Roman"/>
          <w:b/>
          <w:bCs/>
          <w:kern w:val="2"/>
          <w:sz w:val="24"/>
          <w:szCs w:val="24"/>
          <w14:ligatures w14:val="standardContextual"/>
        </w:rPr>
      </w:pPr>
      <w:r>
        <w:rPr>
          <w:rFonts w:hint="default" w:ascii="Times New Roman" w:hAnsi="Times New Roman" w:eastAsia="Aptos" w:cs="Times New Roman"/>
          <w:b/>
          <w:bCs/>
          <w:kern w:val="2"/>
          <w:sz w:val="24"/>
          <w:szCs w:val="24"/>
          <w14:ligatures w14:val="standardContextual"/>
        </w:rPr>
        <w:t>Showket Hussain</w:t>
      </w:r>
    </w:p>
    <w:p w14:paraId="64264A36">
      <w:pPr>
        <w:spacing w:line="240" w:lineRule="auto"/>
        <w:jc w:val="both"/>
        <w:rPr>
          <w:rFonts w:hint="default" w:ascii="Times New Roman" w:hAnsi="Times New Roman" w:eastAsia="Aptos" w:cs="Times New Roman"/>
          <w:kern w:val="2"/>
          <w:sz w:val="24"/>
          <w:szCs w:val="24"/>
          <w:u w:val="single"/>
          <w14:ligatures w14:val="standardContextual"/>
        </w:rPr>
      </w:pPr>
      <w:r>
        <w:rPr>
          <w:rFonts w:hint="default" w:ascii="Times New Roman" w:hAnsi="Times New Roman" w:eastAsia="Aptos" w:cs="Times New Roman"/>
          <w:kern w:val="2"/>
          <w:sz w:val="24"/>
          <w:szCs w:val="24"/>
          <w:u w:val="single"/>
          <w14:ligatures w14:val="standardContextual"/>
        </w:rPr>
        <w:fldChar w:fldCharType="begin"/>
      </w:r>
      <w:r>
        <w:rPr>
          <w:rFonts w:hint="default" w:ascii="Times New Roman" w:hAnsi="Times New Roman" w:eastAsia="Aptos" w:cs="Times New Roman"/>
          <w:kern w:val="2"/>
          <w:sz w:val="24"/>
          <w:szCs w:val="24"/>
          <w:u w:val="single"/>
          <w14:ligatures w14:val="standardContextual"/>
        </w:rPr>
        <w:instrText xml:space="preserve"> HYPERLINK "mailto:showket.hussain@gov.in" </w:instrText>
      </w:r>
      <w:r>
        <w:rPr>
          <w:rFonts w:hint="default" w:ascii="Times New Roman" w:hAnsi="Times New Roman" w:eastAsia="Aptos" w:cs="Times New Roman"/>
          <w:kern w:val="2"/>
          <w:sz w:val="24"/>
          <w:szCs w:val="24"/>
          <w:u w:val="single"/>
          <w14:ligatures w14:val="standardContextual"/>
        </w:rPr>
        <w:fldChar w:fldCharType="separate"/>
      </w:r>
      <w:r>
        <w:rPr>
          <w:rStyle w:val="14"/>
          <w:rFonts w:hint="default" w:ascii="Times New Roman" w:hAnsi="Times New Roman" w:eastAsia="Aptos" w:cs="Times New Roman"/>
          <w:kern w:val="2"/>
          <w:sz w:val="24"/>
          <w:szCs w:val="24"/>
          <w14:ligatures w14:val="standardContextual"/>
        </w:rPr>
        <w:t>showket.hussain@gov.in</w:t>
      </w:r>
      <w:r>
        <w:rPr>
          <w:rFonts w:hint="default" w:ascii="Times New Roman" w:hAnsi="Times New Roman" w:eastAsia="Aptos" w:cs="Times New Roman"/>
          <w:kern w:val="2"/>
          <w:sz w:val="24"/>
          <w:szCs w:val="24"/>
          <w:u w:val="single"/>
          <w14:ligatures w14:val="standardContextual"/>
        </w:rPr>
        <w:fldChar w:fldCharType="end"/>
      </w:r>
    </w:p>
    <w:p w14:paraId="76FB2498">
      <w:pPr>
        <w:spacing w:line="240" w:lineRule="auto"/>
        <w:jc w:val="both"/>
        <w:rPr>
          <w:rFonts w:hint="default" w:ascii="Times New Roman" w:hAnsi="Times New Roman" w:eastAsia="Aptos" w:cs="Times New Roman"/>
          <w:b/>
          <w:bCs/>
          <w:kern w:val="2"/>
          <w:sz w:val="24"/>
          <w:szCs w:val="24"/>
          <w:u w:val="none"/>
          <w:lang w:val="en-IN"/>
          <w14:ligatures w14:val="standardContextual"/>
        </w:rPr>
      </w:pPr>
      <w:r>
        <w:rPr>
          <w:rFonts w:hint="default" w:ascii="Times New Roman" w:hAnsi="Times New Roman" w:eastAsia="Aptos" w:cs="Times New Roman"/>
          <w:b/>
          <w:bCs/>
          <w:kern w:val="2"/>
          <w:sz w:val="24"/>
          <w:szCs w:val="24"/>
          <w:u w:val="none"/>
          <w:lang w:val="en-IN"/>
          <w14:ligatures w14:val="standardContextual"/>
        </w:rPr>
        <w:t>Mehreen Aftab</w:t>
      </w:r>
    </w:p>
    <w:p w14:paraId="1B207657">
      <w:pPr>
        <w:spacing w:line="240" w:lineRule="auto"/>
        <w:jc w:val="both"/>
        <w:rPr>
          <w:rFonts w:hint="default" w:ascii="Times New Roman" w:hAnsi="Times New Roman" w:eastAsia="Aptos" w:cs="Times New Roman"/>
          <w:b w:val="0"/>
          <w:bCs w:val="0"/>
          <w:color w:val="0000FF"/>
          <w:kern w:val="2"/>
          <w:sz w:val="24"/>
          <w:szCs w:val="24"/>
          <w:u w:val="single"/>
          <w:lang w:val="en-IN"/>
          <w14:ligatures w14:val="standardContextual"/>
        </w:rPr>
      </w:pPr>
      <w:r>
        <w:rPr>
          <w:rFonts w:hint="default" w:ascii="Times New Roman" w:hAnsi="Times New Roman" w:eastAsia="Aptos" w:cs="Times New Roman"/>
          <w:b w:val="0"/>
          <w:bCs w:val="0"/>
          <w:color w:val="0000FF"/>
          <w:kern w:val="2"/>
          <w:sz w:val="24"/>
          <w:szCs w:val="24"/>
          <w:u w:val="single"/>
          <w:lang w:val="en-IN"/>
          <w14:ligatures w14:val="standardContextual"/>
        </w:rPr>
        <w:t>mehreen@jamiahamdard.ac.in</w:t>
      </w:r>
    </w:p>
    <w:p w14:paraId="15FC74C8">
      <w:pPr>
        <w:rPr>
          <w:rFonts w:hint="default" w:ascii="Times New Roman" w:hAnsi="Times New Roman" w:cs="Times New Roman"/>
          <w:b w:val="0"/>
          <w:bCs w:val="0"/>
          <w:color w:val="0000FF"/>
          <w:sz w:val="24"/>
          <w:szCs w:val="24"/>
          <w:u w:val="single"/>
        </w:rPr>
      </w:pPr>
    </w:p>
    <w:p w14:paraId="192FC4CA">
      <w:pPr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                        Table S1:</w:t>
      </w:r>
      <w:r>
        <w:rPr>
          <w:rFonts w:hint="default" w:ascii="Times New Roman" w:hAnsi="Times New Roman" w:cs="Times New Roman"/>
          <w:sz w:val="24"/>
          <w:szCs w:val="24"/>
        </w:rPr>
        <w:t xml:space="preserve"> Quantitative PCR (qPCR) human primer nucleotide sequences</w:t>
      </w:r>
    </w:p>
    <w:tbl>
      <w:tblPr>
        <w:tblStyle w:val="17"/>
        <w:tblpPr w:leftFromText="180" w:rightFromText="180" w:vertAnchor="text" w:horzAnchor="margin" w:tblpY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37"/>
        <w:gridCol w:w="2575"/>
        <w:gridCol w:w="4030"/>
      </w:tblGrid>
      <w:tr w14:paraId="4B57DF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B26F08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Gene symbol</w:t>
            </w:r>
          </w:p>
        </w:tc>
        <w:tc>
          <w:tcPr>
            <w:tcW w:w="64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5A46B8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Nucleotide sequence (5' to 3')</w:t>
            </w:r>
          </w:p>
        </w:tc>
      </w:tr>
      <w:tr w14:paraId="25BD92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1C955C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LC3 (NM_022818)</w:t>
            </w:r>
          </w:p>
        </w:tc>
        <w:tc>
          <w:tcPr>
            <w:tcW w:w="2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9AAE9C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Forward </w:t>
            </w:r>
          </w:p>
        </w:tc>
        <w:tc>
          <w:tcPr>
            <w:tcW w:w="38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295563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GAGAAGCAGCTTCCTGTTCTGG</w:t>
            </w:r>
          </w:p>
        </w:tc>
      </w:tr>
      <w:tr w14:paraId="76CE75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99DE4E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F25CC2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Reverse </w:t>
            </w:r>
          </w:p>
        </w:tc>
        <w:tc>
          <w:tcPr>
            <w:tcW w:w="38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DD5338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GTGTCCGTTCACCAACAGGAAG</w:t>
            </w:r>
          </w:p>
        </w:tc>
      </w:tr>
      <w:tr w14:paraId="034CD8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8D90E7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NRF2 (NM_006164)</w:t>
            </w:r>
          </w:p>
        </w:tc>
        <w:tc>
          <w:tcPr>
            <w:tcW w:w="2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FCEF77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Forward </w:t>
            </w:r>
          </w:p>
        </w:tc>
        <w:tc>
          <w:tcPr>
            <w:tcW w:w="38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7BAA9B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CACATCCAGTCAGAAACCAGTGG</w:t>
            </w:r>
          </w:p>
        </w:tc>
      </w:tr>
      <w:tr w14:paraId="610274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10BDDB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5053A7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Reverse </w:t>
            </w:r>
          </w:p>
        </w:tc>
        <w:tc>
          <w:tcPr>
            <w:tcW w:w="38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A5F707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GGAATGTCTGCGCCAAAAGCTG</w:t>
            </w:r>
          </w:p>
        </w:tc>
      </w:tr>
      <w:tr w14:paraId="600EE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366C00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p62 (NM_003900)</w:t>
            </w:r>
          </w:p>
        </w:tc>
        <w:tc>
          <w:tcPr>
            <w:tcW w:w="2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DA0487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Forward </w:t>
            </w:r>
          </w:p>
        </w:tc>
        <w:tc>
          <w:tcPr>
            <w:tcW w:w="38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ECA8A7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TGTGTAGCGTCTGCGAGGGAAA</w:t>
            </w:r>
          </w:p>
        </w:tc>
      </w:tr>
      <w:tr w14:paraId="6FD776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5D841F6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674DFD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Reverse </w:t>
            </w:r>
          </w:p>
        </w:tc>
        <w:tc>
          <w:tcPr>
            <w:tcW w:w="38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27B1A9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AGTGTCCGTGTTTCACCTTCCG</w:t>
            </w:r>
          </w:p>
        </w:tc>
      </w:tr>
      <w:tr w14:paraId="506A6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tcBorders>
              <w:top w:val="single" w:color="000000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37EC47C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Beta-actin (NM_001101)</w:t>
            </w:r>
          </w:p>
        </w:tc>
        <w:tc>
          <w:tcPr>
            <w:tcW w:w="2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8B8D6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Forward </w:t>
            </w:r>
          </w:p>
        </w:tc>
        <w:tc>
          <w:tcPr>
            <w:tcW w:w="38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BD04B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CACCATTGGCAATGAGCGGTTC</w:t>
            </w:r>
          </w:p>
        </w:tc>
      </w:tr>
      <w:tr w14:paraId="727A2D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1DB05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02C7E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Reverse </w:t>
            </w:r>
          </w:p>
          <w:p w14:paraId="29BBE20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DA083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AGGTCTTTGCGGATGTCCACGT</w:t>
            </w:r>
          </w:p>
        </w:tc>
      </w:tr>
    </w:tbl>
    <w:p w14:paraId="589D2EF5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64BC481B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1C1F6727">
      <w:pPr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 Table S2:</w:t>
      </w:r>
      <w:r>
        <w:rPr>
          <w:rFonts w:hint="default" w:ascii="Times New Roman" w:hAnsi="Times New Roman" w:cs="Times New Roman"/>
          <w:sz w:val="24"/>
          <w:szCs w:val="24"/>
        </w:rPr>
        <w:t xml:space="preserve"> Primary and secondary antibody details</w:t>
      </w:r>
    </w:p>
    <w:p w14:paraId="7BC4F584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tbl>
      <w:tblPr>
        <w:tblStyle w:val="17"/>
        <w:tblW w:w="89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79"/>
        <w:gridCol w:w="2490"/>
        <w:gridCol w:w="2490"/>
      </w:tblGrid>
      <w:tr w14:paraId="1557D9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3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0BCB8D">
            <w:pPr>
              <w:spacing w:after="160" w:line="259" w:lineRule="auto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Target protein</w:t>
            </w:r>
          </w:p>
        </w:tc>
        <w:tc>
          <w:tcPr>
            <w:tcW w:w="2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8CD124">
            <w:pPr>
              <w:spacing w:after="160" w:line="259" w:lineRule="auto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Company</w:t>
            </w:r>
          </w:p>
        </w:tc>
        <w:tc>
          <w:tcPr>
            <w:tcW w:w="2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4021A6">
            <w:pPr>
              <w:spacing w:after="160" w:line="259" w:lineRule="auto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Application</w:t>
            </w:r>
          </w:p>
        </w:tc>
      </w:tr>
      <w:tr w14:paraId="4051B3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3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49DC70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LC3</w:t>
            </w:r>
          </w:p>
        </w:tc>
        <w:tc>
          <w:tcPr>
            <w:tcW w:w="249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9AA348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Cell Signaling #3868</w:t>
            </w:r>
          </w:p>
        </w:tc>
        <w:tc>
          <w:tcPr>
            <w:tcW w:w="2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76DEE4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Immunoblot </w:t>
            </w:r>
          </w:p>
        </w:tc>
      </w:tr>
      <w:tr w14:paraId="464F8E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634468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440521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857112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Immunofluorescence</w:t>
            </w:r>
          </w:p>
        </w:tc>
      </w:tr>
      <w:tr w14:paraId="270933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0FA32D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NRF2</w:t>
            </w:r>
          </w:p>
        </w:tc>
        <w:tc>
          <w:tcPr>
            <w:tcW w:w="249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F3F553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Sigma #L7543</w:t>
            </w:r>
          </w:p>
        </w:tc>
        <w:tc>
          <w:tcPr>
            <w:tcW w:w="2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175448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Immunoblot </w:t>
            </w:r>
          </w:p>
        </w:tc>
      </w:tr>
      <w:tr w14:paraId="3D187A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1C1EB1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D24576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BFC5EA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Immunofluorescence</w:t>
            </w:r>
          </w:p>
        </w:tc>
      </w:tr>
      <w:tr w14:paraId="63F4A2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3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14C859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p62</w:t>
            </w:r>
          </w:p>
        </w:tc>
        <w:tc>
          <w:tcPr>
            <w:tcW w:w="249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56E5A9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Santacruz, #sc-28359</w:t>
            </w:r>
          </w:p>
          <w:p w14:paraId="1FB54A74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F6179D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Immunoblot </w:t>
            </w:r>
          </w:p>
        </w:tc>
      </w:tr>
      <w:tr w14:paraId="78DFD3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183D3E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F24845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CB4341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Immunofluorescence</w:t>
            </w:r>
          </w:p>
        </w:tc>
      </w:tr>
      <w:tr w14:paraId="71261B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3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BB18A1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Beta-actin</w:t>
            </w:r>
          </w:p>
        </w:tc>
        <w:tc>
          <w:tcPr>
            <w:tcW w:w="2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ACAD88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mAbcam 8226</w:t>
            </w:r>
          </w:p>
        </w:tc>
        <w:tc>
          <w:tcPr>
            <w:tcW w:w="2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8A1A76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Immunoblot </w:t>
            </w:r>
          </w:p>
        </w:tc>
      </w:tr>
      <w:tr w14:paraId="549B62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3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064A56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Anti-mouse IgG-HRP </w:t>
            </w:r>
          </w:p>
        </w:tc>
        <w:tc>
          <w:tcPr>
            <w:tcW w:w="2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5EB99B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Cell Signaling #707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4</w:t>
            </w:r>
          </w:p>
        </w:tc>
        <w:tc>
          <w:tcPr>
            <w:tcW w:w="2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034C84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Immunoblot </w:t>
            </w:r>
          </w:p>
        </w:tc>
      </w:tr>
      <w:tr w14:paraId="1038A8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3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24A6DD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Anti-rabbit IgG-HRP </w:t>
            </w:r>
          </w:p>
        </w:tc>
        <w:tc>
          <w:tcPr>
            <w:tcW w:w="2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225256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Cell Signaling #7076</w:t>
            </w:r>
          </w:p>
        </w:tc>
        <w:tc>
          <w:tcPr>
            <w:tcW w:w="2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BD9637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Immunoblot </w:t>
            </w:r>
          </w:p>
        </w:tc>
      </w:tr>
      <w:tr w14:paraId="605EE8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3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EF8FF8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Anti-rabbit Alexa Fluor™ 488 Antibody</w:t>
            </w:r>
          </w:p>
        </w:tc>
        <w:tc>
          <w:tcPr>
            <w:tcW w:w="2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72FA61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Invitrogen, # A11008</w:t>
            </w:r>
          </w:p>
        </w:tc>
        <w:tc>
          <w:tcPr>
            <w:tcW w:w="2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FC3A8C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Immunofluorescence</w:t>
            </w:r>
          </w:p>
        </w:tc>
      </w:tr>
      <w:tr w14:paraId="4DE0D7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3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B1B81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Anti-mouse Alexa Fluor™ 564 Antibody</w:t>
            </w:r>
          </w:p>
        </w:tc>
        <w:tc>
          <w:tcPr>
            <w:tcW w:w="2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1CBDEE">
            <w:pPr>
              <w:spacing w:after="160" w:line="259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Invitrogen, # A-11030</w:t>
            </w:r>
          </w:p>
          <w:p w14:paraId="6BEF2E0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C6ACD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Immunofluorescence</w:t>
            </w:r>
          </w:p>
        </w:tc>
      </w:tr>
    </w:tbl>
    <w:p w14:paraId="24FB816D">
      <w:pPr>
        <w:rPr>
          <w:rFonts w:hint="default" w:ascii="Times New Roman" w:hAnsi="Times New Roman" w:cs="Times New Roman"/>
          <w:sz w:val="24"/>
          <w:szCs w:val="24"/>
        </w:rPr>
      </w:pPr>
    </w:p>
    <w:p w14:paraId="5AFD135E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723890" cy="4065270"/>
            <wp:effectExtent l="0" t="0" r="6350" b="381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79C10">
      <w:pPr>
        <w:pStyle w:val="13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Figure </w:t>
      </w:r>
      <w:r>
        <w:rPr>
          <w:rFonts w:hint="default" w:ascii="Times New Roman" w:hAnsi="Times New Roman" w:cs="Times New Roman"/>
          <w:sz w:val="24"/>
          <w:szCs w:val="24"/>
          <w:lang w:val="en-IN"/>
        </w:rPr>
        <w:t>S</w:t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SEQ Figure \* ARABIC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IN"/>
        </w:rPr>
        <w:t xml:space="preserve">;(A) </w:t>
      </w:r>
      <w:r>
        <w:rPr>
          <w:rFonts w:hint="default" w:ascii="Times New Roman" w:hAnsi="Times New Roman" w:cs="Times New Roman"/>
          <w:sz w:val="24"/>
          <w:szCs w:val="24"/>
        </w:rPr>
        <w:t xml:space="preserve">Structure of DTBN: Purified extract from Nuphar lutea, 6,6′-dihydroxythiobinupharidine </w:t>
      </w:r>
      <w:r>
        <w:rPr>
          <w:rFonts w:hint="default" w:ascii="Times New Roman" w:hAnsi="Times New Roman" w:cs="Times New Roman"/>
          <w:sz w:val="24"/>
          <w:szCs w:val="24"/>
          <w:lang w:val="en-IN"/>
        </w:rPr>
        <w:t>.</w:t>
      </w:r>
      <w:r>
        <w:rPr>
          <w:rFonts w:hint="default" w:ascii="Times New Roman" w:hAnsi="Times New Roman" w:cs="Times New Roman"/>
          <w:sz w:val="24"/>
          <w:szCs w:val="24"/>
        </w:rPr>
        <w:t xml:space="preserve"> DTBN decreases breast cancer cells (different Tp53 status) viability dose dependently. (B) MTT-based viability assay of breast cancer cells with various DTBN concentrations after 24 hours of treatment. IC50 value calculated using non-linear regression. (C-D) Cell viability of cells after the treatment of brusatol (0.2&amp;0.5µM) and DTBN (0.2 &amp; 0.5µM) for 24 hours. </w:t>
      </w:r>
    </w:p>
    <w:p w14:paraId="044A2EE6">
      <w:pPr>
        <w:rPr>
          <w:rFonts w:hint="default" w:ascii="Times New Roman" w:hAnsi="Times New Roman" w:cs="Times New Roman"/>
          <w:sz w:val="24"/>
          <w:szCs w:val="24"/>
        </w:rPr>
      </w:pPr>
    </w:p>
    <w:p w14:paraId="58250F44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730875" cy="2072005"/>
            <wp:effectExtent l="0" t="0" r="1460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DF295">
      <w:pPr>
        <w:pStyle w:val="13"/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Figure </w:t>
      </w:r>
      <w:r>
        <w:rPr>
          <w:rFonts w:hint="default" w:ascii="Times New Roman" w:hAnsi="Times New Roman" w:cs="Times New Roman"/>
          <w:sz w:val="24"/>
          <w:szCs w:val="24"/>
          <w:lang w:val="en-IN"/>
        </w:rPr>
        <w:t>S</w:t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SEQ Figure \* ARABIC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</w:rPr>
        <w:t>2</w:t>
      </w:r>
      <w:r>
        <w:rPr>
          <w:rFonts w:hint="default" w:ascii="Times New Roman" w:hAnsi="Times New Roman" w:cs="Times New Roman"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IN"/>
        </w:rPr>
        <w:t>: Scratch wound healing assay to determine the effect of DTBN and Brusatol on the migration of breast cancer cells (MCF7, MDA-MB-231 &amp;MDA-MB-453)</w:t>
      </w:r>
    </w:p>
    <w:p w14:paraId="4EFC928A">
      <w:pPr>
        <w:pStyle w:val="13"/>
        <w:rPr>
          <w:rFonts w:hint="default" w:ascii="Times New Roman" w:hAnsi="Times New Roman" w:cs="Times New Roman"/>
          <w:sz w:val="24"/>
          <w:szCs w:val="24"/>
          <w:lang w:val="en-IN"/>
        </w:rPr>
      </w:pPr>
    </w:p>
    <w:p w14:paraId="2F00689B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730875" cy="2908300"/>
            <wp:effectExtent l="0" t="0" r="1460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CE885">
      <w:pPr>
        <w:pStyle w:val="13"/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Figure </w:t>
      </w:r>
      <w:r>
        <w:rPr>
          <w:rFonts w:hint="default" w:ascii="Times New Roman" w:hAnsi="Times New Roman" w:cs="Times New Roman"/>
          <w:sz w:val="24"/>
          <w:szCs w:val="24"/>
          <w:lang w:val="en-IN"/>
        </w:rPr>
        <w:t>S</w:t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SEQ Figure \* ARABIC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IN"/>
        </w:rPr>
        <w:t>: DTBN and Brusatol  synergism  was predicted by synergy combination index/scores</w:t>
      </w:r>
    </w:p>
    <w:p w14:paraId="549B538D">
      <w:pPr>
        <w:pStyle w:val="13"/>
        <w:rPr>
          <w:rFonts w:hint="default" w:ascii="Times New Roman" w:hAnsi="Times New Roman" w:cs="Times New Roman"/>
          <w:sz w:val="24"/>
          <w:szCs w:val="24"/>
          <w:lang w:val="en-IN"/>
        </w:rPr>
      </w:pPr>
    </w:p>
    <w:p w14:paraId="40DA0978">
      <w:pPr>
        <w:pStyle w:val="13"/>
        <w:rPr>
          <w:rFonts w:hint="default" w:ascii="Times New Roman" w:hAnsi="Times New Roman" w:cs="Times New Roman"/>
          <w:sz w:val="24"/>
          <w:szCs w:val="24"/>
          <w:lang w:val="en-IN"/>
        </w:rPr>
      </w:pPr>
    </w:p>
    <w:p w14:paraId="2D2E275F">
      <w:pPr>
        <w:rPr>
          <w:rFonts w:hint="default" w:ascii="Times New Roman" w:hAnsi="Times New Roman" w:cs="Times New Roman"/>
          <w:sz w:val="24"/>
          <w:szCs w:val="24"/>
          <w:lang w:val="en-IN"/>
        </w:rPr>
      </w:pPr>
    </w:p>
    <w:p w14:paraId="42F33293">
      <w:pPr>
        <w:rPr>
          <w:rFonts w:hint="default" w:ascii="Times New Roman" w:hAnsi="Times New Roman" w:cs="Times New Roman"/>
          <w:sz w:val="24"/>
          <w:szCs w:val="24"/>
          <w:lang w:val="en-IN"/>
        </w:rPr>
      </w:pPr>
    </w:p>
    <w:p w14:paraId="5A067A43">
      <w:pPr>
        <w:rPr>
          <w:rFonts w:hint="default" w:ascii="Times New Roman" w:hAnsi="Times New Roman" w:cs="Times New Roman"/>
          <w:sz w:val="24"/>
          <w:szCs w:val="24"/>
          <w:lang w:val="en-IN"/>
        </w:rPr>
      </w:pPr>
    </w:p>
    <w:p w14:paraId="269407F2">
      <w:pPr>
        <w:rPr>
          <w:rFonts w:hint="default" w:ascii="Times New Roman" w:hAnsi="Times New Roman" w:cs="Times New Roman"/>
          <w:sz w:val="24"/>
          <w:szCs w:val="24"/>
          <w:lang w:val="en-IN"/>
        </w:rPr>
      </w:pPr>
    </w:p>
    <w:p w14:paraId="517107D0">
      <w:pPr>
        <w:rPr>
          <w:rFonts w:hint="default" w:ascii="Times New Roman" w:hAnsi="Times New Roman" w:cs="Times New Roman"/>
          <w:sz w:val="24"/>
          <w:szCs w:val="24"/>
          <w:lang w:val="en-IN"/>
        </w:rPr>
      </w:pPr>
    </w:p>
    <w:p w14:paraId="4BAE4261">
      <w:pPr>
        <w:rPr>
          <w:rFonts w:hint="default" w:ascii="Times New Roman" w:hAnsi="Times New Roman" w:cs="Times New Roman"/>
          <w:sz w:val="24"/>
          <w:szCs w:val="24"/>
          <w:lang w:val="en-IN"/>
        </w:rPr>
      </w:pPr>
    </w:p>
    <w:p w14:paraId="220B63F9">
      <w:pPr>
        <w:rPr>
          <w:rFonts w:hint="default" w:ascii="Times New Roman" w:hAnsi="Times New Roman" w:cs="Times New Roman"/>
          <w:sz w:val="24"/>
          <w:szCs w:val="24"/>
          <w:lang w:val="en-IN"/>
        </w:rPr>
      </w:pPr>
    </w:p>
    <w:p w14:paraId="3E29DB56">
      <w:pPr>
        <w:rPr>
          <w:rFonts w:hint="default" w:ascii="Times New Roman" w:hAnsi="Times New Roman" w:cs="Times New Roman"/>
          <w:sz w:val="24"/>
          <w:szCs w:val="24"/>
          <w:lang w:val="en-IN"/>
        </w:rPr>
      </w:pPr>
    </w:p>
    <w:p w14:paraId="4AE3EFF8">
      <w:pPr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>(A)</w:t>
      </w:r>
    </w:p>
    <w:p w14:paraId="24129C39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725795" cy="3653155"/>
            <wp:effectExtent l="0" t="0" r="4445" b="4445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04345">
      <w:pPr>
        <w:pStyle w:val="13"/>
        <w:rPr>
          <w:rFonts w:hint="default" w:ascii="Times New Roman" w:hAnsi="Times New Roman" w:cs="Times New Roman"/>
          <w:sz w:val="24"/>
          <w:szCs w:val="24"/>
        </w:rPr>
      </w:pPr>
    </w:p>
    <w:p w14:paraId="6153CABB">
      <w:pPr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>(B)</w: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730875" cy="3585845"/>
            <wp:effectExtent l="0" t="0" r="14605" b="10795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63308">
      <w:pPr>
        <w:rPr>
          <w:rFonts w:hint="default" w:ascii="Times New Roman" w:hAnsi="Times New Roman" w:cs="Times New Roman"/>
          <w:sz w:val="24"/>
          <w:szCs w:val="24"/>
        </w:rPr>
      </w:pPr>
    </w:p>
    <w:p w14:paraId="0BF861F8">
      <w:pPr>
        <w:pStyle w:val="13"/>
        <w:rPr>
          <w:rFonts w:hint="default" w:ascii="Times New Roman" w:hAnsi="Times New Roman" w:cs="Times New Roman"/>
          <w:sz w:val="24"/>
          <w:szCs w:val="24"/>
        </w:rPr>
      </w:pPr>
    </w:p>
    <w:p w14:paraId="6966E254">
      <w:pPr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>(C )</w: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725160" cy="3882390"/>
            <wp:effectExtent l="0" t="0" r="5080" b="381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2DB2D">
      <w:pPr>
        <w:rPr>
          <w:rFonts w:hint="default" w:ascii="Times New Roman" w:hAnsi="Times New Roman" w:cs="Times New Roman"/>
          <w:sz w:val="24"/>
          <w:szCs w:val="24"/>
        </w:rPr>
      </w:pPr>
    </w:p>
    <w:p w14:paraId="021B0398">
      <w:pPr>
        <w:spacing w:after="160" w:line="259" w:lineRule="auto"/>
        <w:rPr>
          <w:rFonts w:hint="default" w:ascii="Times New Roman" w:hAnsi="Times New Roman" w:eastAsia="黑体" w:cs="Times New Roman"/>
          <w:kern w:val="0"/>
          <w:sz w:val="24"/>
          <w:szCs w:val="24"/>
          <w:lang w:val="en-IN" w:eastAsia="en-US" w:bidi="ar-SA"/>
          <w14:ligatures w14:val="none"/>
        </w:rPr>
      </w:pPr>
      <w:r>
        <w:rPr>
          <w:rFonts w:hint="default" w:ascii="Times New Roman" w:hAnsi="Times New Roman" w:eastAsia="黑体" w:cs="Times New Roman"/>
          <w:kern w:val="0"/>
          <w:sz w:val="24"/>
          <w:szCs w:val="24"/>
          <w:lang w:val="en-IN" w:eastAsia="en-US" w:bidi="ar-SA"/>
          <w14:ligatures w14:val="none"/>
        </w:rPr>
        <w:t>Figure S</w:t>
      </w:r>
      <w:r>
        <w:rPr>
          <w:rFonts w:hint="default" w:ascii="Times New Roman" w:hAnsi="Times New Roman" w:eastAsia="黑体" w:cs="Times New Roman"/>
          <w:kern w:val="0"/>
          <w:sz w:val="24"/>
          <w:szCs w:val="24"/>
          <w:lang w:val="en-IN" w:eastAsia="en-US" w:bidi="ar-SA"/>
          <w14:ligatures w14:val="none"/>
        </w:rPr>
        <w:fldChar w:fldCharType="begin"/>
      </w:r>
      <w:r>
        <w:rPr>
          <w:rFonts w:hint="default" w:ascii="Times New Roman" w:hAnsi="Times New Roman" w:eastAsia="黑体" w:cs="Times New Roman"/>
          <w:kern w:val="0"/>
          <w:sz w:val="24"/>
          <w:szCs w:val="24"/>
          <w:lang w:val="en-IN" w:eastAsia="en-US" w:bidi="ar-SA"/>
          <w14:ligatures w14:val="none"/>
        </w:rPr>
        <w:instrText xml:space="preserve"> SEQ Figure \* ARABIC </w:instrText>
      </w:r>
      <w:r>
        <w:rPr>
          <w:rFonts w:hint="default" w:ascii="Times New Roman" w:hAnsi="Times New Roman" w:eastAsia="黑体" w:cs="Times New Roman"/>
          <w:kern w:val="0"/>
          <w:sz w:val="24"/>
          <w:szCs w:val="24"/>
          <w:lang w:val="en-IN" w:eastAsia="en-US" w:bidi="ar-SA"/>
          <w14:ligatures w14:val="none"/>
        </w:rPr>
        <w:fldChar w:fldCharType="separate"/>
      </w:r>
      <w:r>
        <w:rPr>
          <w:rFonts w:hint="default" w:ascii="Times New Roman" w:hAnsi="Times New Roman" w:eastAsia="黑体" w:cs="Times New Roman"/>
          <w:kern w:val="0"/>
          <w:sz w:val="24"/>
          <w:szCs w:val="24"/>
          <w:lang w:val="en-IN" w:eastAsia="en-US" w:bidi="ar-SA"/>
          <w14:ligatures w14:val="none"/>
        </w:rPr>
        <w:t>4</w:t>
      </w:r>
      <w:r>
        <w:rPr>
          <w:rFonts w:hint="default" w:ascii="Times New Roman" w:hAnsi="Times New Roman" w:eastAsia="黑体" w:cs="Times New Roman"/>
          <w:kern w:val="0"/>
          <w:sz w:val="24"/>
          <w:szCs w:val="24"/>
          <w:lang w:val="en-IN" w:eastAsia="en-US" w:bidi="ar-SA"/>
          <w14:ligatures w14:val="none"/>
        </w:rPr>
        <w:fldChar w:fldCharType="end"/>
      </w:r>
      <w:r>
        <w:rPr>
          <w:rFonts w:hint="default" w:ascii="Times New Roman" w:hAnsi="Times New Roman" w:eastAsia="黑体" w:cs="Times New Roman"/>
          <w:kern w:val="0"/>
          <w:sz w:val="24"/>
          <w:szCs w:val="24"/>
          <w:lang w:val="en-IN" w:eastAsia="en-US" w:bidi="ar-SA"/>
          <w14:ligatures w14:val="none"/>
        </w:rPr>
        <w:t>; Representative FACS images showing reactive oxygen species levels in control samples, DTBN-treated samples, and samples treated with both DTBN and brusatol.(A) MCF7,(B)MDA-MB-231&amp; (C)MDA-MB-453.</w:t>
      </w:r>
    </w:p>
    <w:p w14:paraId="2F8FF0B7">
      <w:pPr>
        <w:rPr>
          <w:rFonts w:hint="default" w:ascii="Times New Roman" w:hAnsi="Times New Roman" w:cs="Times New Roman"/>
          <w:sz w:val="24"/>
          <w:szCs w:val="24"/>
        </w:rPr>
      </w:pPr>
    </w:p>
    <w:p w14:paraId="30B84B0A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725160" cy="3206750"/>
            <wp:effectExtent l="0" t="0" r="5080" b="8890"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EB2B1">
      <w:pPr>
        <w:pStyle w:val="13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Figure</w:t>
      </w:r>
      <w:r>
        <w:rPr>
          <w:rFonts w:hint="default" w:ascii="Times New Roman" w:hAnsi="Times New Roman" w:cs="Times New Roman"/>
          <w:sz w:val="24"/>
          <w:szCs w:val="24"/>
          <w:lang w:val="en-I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IN"/>
        </w:rPr>
        <w:t>S</w:t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SEQ Figure \* ARABIC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</w:rPr>
        <w:t>5</w:t>
      </w:r>
      <w:r>
        <w:rPr>
          <w:rFonts w:hint="default" w:ascii="Times New Roman" w:hAnsi="Times New Roman" w:cs="Times New Roman"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</w:rPr>
        <w:t>; Molecular docking analysis and score of NRF2 against (A) DTBN and (B) Brusatol (NRF2 inhibitor)</w:t>
      </w:r>
    </w:p>
    <w:p w14:paraId="43796AC9">
      <w:pPr>
        <w:rPr>
          <w:rFonts w:hint="default" w:ascii="Times New Roman" w:hAnsi="Times New Roman" w:cs="Times New Roman"/>
          <w:sz w:val="24"/>
          <w:szCs w:val="24"/>
        </w:rPr>
      </w:pPr>
    </w:p>
    <w:p w14:paraId="4DD5BEA4">
      <w:pPr>
        <w:rPr>
          <w:rFonts w:hint="default" w:ascii="Times New Roman" w:hAnsi="Times New Roman" w:cs="Times New Roman"/>
          <w:sz w:val="24"/>
          <w:szCs w:val="24"/>
        </w:rPr>
      </w:pPr>
    </w:p>
    <w:p w14:paraId="65AC60B2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0" distR="0">
            <wp:extent cx="5653405" cy="3442335"/>
            <wp:effectExtent l="0" t="0" r="4445" b="5715"/>
            <wp:docPr id="26961888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618886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1027" cy="3453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0B3966">
      <w:pPr>
        <w:pStyle w:val="13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Figure </w:t>
      </w:r>
      <w:r>
        <w:rPr>
          <w:rFonts w:hint="default" w:ascii="Times New Roman" w:hAnsi="Times New Roman" w:cs="Times New Roman"/>
          <w:sz w:val="24"/>
          <w:szCs w:val="24"/>
          <w:lang w:val="en-IN"/>
        </w:rPr>
        <w:t>S6</w:t>
      </w:r>
      <w:r>
        <w:rPr>
          <w:rFonts w:hint="default" w:ascii="Times New Roman" w:hAnsi="Times New Roman" w:cs="Times New Roman"/>
          <w:sz w:val="24"/>
          <w:szCs w:val="24"/>
        </w:rPr>
        <w:t>: Publicly available data analysis to find out the prognosis and diagnosis of Nrf2, p62 &amp; LC3 (A-C) Survival plot by kaplan Meier plotter (D) Combined Reciever operating curve (ROC)</w:t>
      </w:r>
    </w:p>
    <w:p w14:paraId="41076028">
      <w:pPr>
        <w:pStyle w:val="13"/>
        <w:rPr>
          <w:rFonts w:hint="default" w:ascii="Times New Roman" w:hAnsi="Times New Roman" w:cs="Times New Roman"/>
          <w:sz w:val="24"/>
          <w:szCs w:val="24"/>
        </w:rPr>
      </w:pPr>
    </w:p>
    <w:p w14:paraId="3BD831F3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727065" cy="4658360"/>
            <wp:effectExtent l="0" t="0" r="317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F7502">
      <w:pPr>
        <w:pStyle w:val="13"/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Figure </w:t>
      </w:r>
      <w:r>
        <w:rPr>
          <w:rFonts w:hint="default" w:ascii="Times New Roman" w:hAnsi="Times New Roman" w:cs="Times New Roman"/>
          <w:sz w:val="24"/>
          <w:szCs w:val="24"/>
          <w:lang w:val="en-IN"/>
        </w:rPr>
        <w:t>S7</w:t>
      </w:r>
      <w:r>
        <w:rPr>
          <w:rFonts w:hint="default" w:ascii="Times New Roman" w:hAnsi="Times New Roman" w:cs="Times New Roman"/>
          <w:sz w:val="24"/>
          <w:szCs w:val="24"/>
        </w:rPr>
        <w:t>; Plots of Pearson's correlation between (A)p62 and Nrf2 (B) LC3 and Nrf2 (C) p62&amp;</w:t>
      </w:r>
      <w:r>
        <w:rPr>
          <w:rFonts w:hint="default" w:ascii="Times New Roman" w:hAnsi="Times New Roman" w:cs="Times New Roman"/>
          <w:sz w:val="24"/>
          <w:szCs w:val="24"/>
          <w:lang w:val="en-IN"/>
        </w:rPr>
        <w:t>LC3</w:t>
      </w:r>
    </w:p>
    <w:p w14:paraId="6F5AA696">
      <w:pPr>
        <w:rPr>
          <w:rFonts w:hint="default" w:ascii="Times New Roman" w:hAnsi="Times New Roman" w:cs="Times New Roman"/>
          <w:sz w:val="24"/>
          <w:szCs w:val="24"/>
          <w:lang w:val="en-IN"/>
        </w:rPr>
      </w:pPr>
    </w:p>
    <w:p w14:paraId="0234841F">
      <w:pPr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drawing>
          <wp:inline distT="0" distB="0" distL="114300" distR="114300">
            <wp:extent cx="5727065" cy="3251835"/>
            <wp:effectExtent l="0" t="0" r="3175" b="9525"/>
            <wp:docPr id="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64052">
      <w:pPr>
        <w:rPr>
          <w:rFonts w:hint="default" w:ascii="Times New Roman" w:hAnsi="Times New Roman" w:cs="Times New Roman"/>
          <w:sz w:val="24"/>
          <w:szCs w:val="24"/>
        </w:rPr>
      </w:pPr>
    </w:p>
    <w:p w14:paraId="377A725F">
      <w:pPr>
        <w:pStyle w:val="13"/>
        <w:ind w:firstLine="3494" w:firstLineChars="1450"/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IN"/>
        </w:rPr>
        <w:t>Original i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mage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IN"/>
        </w:rPr>
        <w:t>s of fig. 3B.</w:t>
      </w:r>
    </w:p>
    <w:p w14:paraId="2050F72F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728970" cy="3735070"/>
            <wp:effectExtent l="0" t="0" r="1270" b="13970"/>
            <wp:docPr id="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65A9F">
      <w:pPr>
        <w:rPr>
          <w:rFonts w:hint="default" w:ascii="Times New Roman" w:hAnsi="Times New Roman" w:cs="Times New Roman"/>
          <w:sz w:val="24"/>
          <w:szCs w:val="24"/>
        </w:rPr>
      </w:pPr>
    </w:p>
    <w:p w14:paraId="0A4BD664">
      <w:pPr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 xml:space="preserve">                                                        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IN"/>
        </w:rPr>
        <w:t>Original i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mage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IN"/>
        </w:rPr>
        <w:t>s of fig. 4B.</w:t>
      </w:r>
    </w:p>
    <w:p w14:paraId="68779EC2">
      <w:pPr>
        <w:rPr>
          <w:rFonts w:hint="default"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5724525" cy="3952875"/>
            <wp:effectExtent l="0" t="0" r="5715" b="9525"/>
            <wp:docPr id="1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6AFE6">
      <w:pPr>
        <w:rPr>
          <w:rFonts w:hint="default" w:ascii="Times New Roman" w:hAnsi="Times New Roman" w:cs="Times New Roman"/>
          <w:sz w:val="24"/>
          <w:szCs w:val="24"/>
        </w:rPr>
      </w:pPr>
    </w:p>
    <w:p w14:paraId="461E8A93">
      <w:pPr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 xml:space="preserve">                                            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IN"/>
        </w:rPr>
        <w:t>Original i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mage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IN"/>
        </w:rPr>
        <w:t>s of fig. 4B.</w:t>
      </w: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ptos">
    <w:altName w:val="SimSun"/>
    <w:panose1 w:val="00000000000000000000"/>
    <w:charset w:val="86"/>
    <w:family w:val="swiss"/>
    <w:pitch w:val="default"/>
    <w:sig w:usb0="00000000" w:usb1="00000000" w:usb2="00000000" w:usb3="00000000" w:csb0="0000019F" w:csb1="00000000"/>
  </w:font>
  <w:font w:name="Aptos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pto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tos Display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80D"/>
    <w:rsid w:val="000E3EA5"/>
    <w:rsid w:val="00125DA2"/>
    <w:rsid w:val="001A6CEF"/>
    <w:rsid w:val="002D3469"/>
    <w:rsid w:val="003013D0"/>
    <w:rsid w:val="00644C13"/>
    <w:rsid w:val="00650384"/>
    <w:rsid w:val="007668AF"/>
    <w:rsid w:val="008865AF"/>
    <w:rsid w:val="008B3BB6"/>
    <w:rsid w:val="00A845CA"/>
    <w:rsid w:val="00AA0554"/>
    <w:rsid w:val="00AD22B1"/>
    <w:rsid w:val="00C20D48"/>
    <w:rsid w:val="00CF6B02"/>
    <w:rsid w:val="00DA3F34"/>
    <w:rsid w:val="00EE5607"/>
    <w:rsid w:val="00F27E57"/>
    <w:rsid w:val="00F60966"/>
    <w:rsid w:val="00FC4D02"/>
    <w:rsid w:val="00FF080D"/>
    <w:rsid w:val="02A24112"/>
    <w:rsid w:val="11220839"/>
    <w:rsid w:val="15143379"/>
    <w:rsid w:val="155B6894"/>
    <w:rsid w:val="1CE617B0"/>
    <w:rsid w:val="1F081E60"/>
    <w:rsid w:val="37A43E5E"/>
    <w:rsid w:val="4F634474"/>
    <w:rsid w:val="4FC13FB0"/>
    <w:rsid w:val="50107CD9"/>
    <w:rsid w:val="52872DE9"/>
    <w:rsid w:val="602E16D7"/>
    <w:rsid w:val="693B7234"/>
    <w:rsid w:val="6CE90BE4"/>
    <w:rsid w:val="6E894E68"/>
    <w:rsid w:val="6ED12F3D"/>
    <w:rsid w:val="75E45835"/>
    <w:rsid w:val="781C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0"/>
      <w:sz w:val="22"/>
      <w:szCs w:val="22"/>
      <w:lang w:val="en-IN" w:eastAsia="en-US" w:bidi="ar-SA"/>
      <w14:ligatures w14:val="none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kern w:val="2"/>
      <w:sz w:val="40"/>
      <w:szCs w:val="40"/>
      <w14:ligatures w14:val="standardContextual"/>
    </w:rPr>
  </w:style>
  <w:style w:type="paragraph" w:styleId="3">
    <w:name w:val="heading 2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kern w:val="2"/>
      <w:sz w:val="32"/>
      <w:szCs w:val="32"/>
      <w14:ligatures w14:val="standardContextual"/>
    </w:rPr>
  </w:style>
  <w:style w:type="paragraph" w:styleId="4">
    <w:name w:val="heading 3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104862" w:themeColor="accent1" w:themeShade="BF"/>
      <w:kern w:val="2"/>
      <w:sz w:val="28"/>
      <w:szCs w:val="28"/>
      <w14:ligatures w14:val="standardContextual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04862" w:themeColor="accent1" w:themeShade="BF"/>
      <w:kern w:val="2"/>
      <w14:ligatures w14:val="standardContextual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104862" w:themeColor="accent1" w:themeShade="BF"/>
      <w:kern w:val="2"/>
      <w14:ligatures w14:val="standardContextual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  <w:kern w:val="2"/>
      <w14:textFill>
        <w14:solidFill>
          <w14:schemeClr w14:val="tx1">
            <w14:lumMod w14:val="85000"/>
            <w14:lumOff w14:val="15000"/>
          </w14:schemeClr>
        </w14:solidFill>
      </w14:textFill>
      <w14:ligatures w14:val="standardContextual"/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  <w:kern w:val="2"/>
      <w14:textFill>
        <w14:solidFill>
          <w14:schemeClr w14:val="tx1">
            <w14:lumMod w14:val="85000"/>
            <w14:lumOff w14:val="15000"/>
          </w14:schemeClr>
        </w14:solidFill>
      </w14:textFill>
      <w14:ligatures w14:val="standardContextual"/>
    </w:rPr>
  </w:style>
  <w:style w:type="character" w:default="1" w:styleId="11">
    <w:name w:val="Default Paragraph Font"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caption"/>
    <w:basedOn w:val="1"/>
    <w:next w:val="1"/>
    <w:semiHidden/>
    <w:unhideWhenUsed/>
    <w:qFormat/>
    <w:uiPriority w:val="35"/>
    <w:rPr>
      <w:rFonts w:ascii="Arial" w:hAnsi="Arial" w:eastAsia="黑体" w:cs="Arial"/>
      <w:sz w:val="20"/>
    </w:rPr>
  </w:style>
  <w:style w:type="character" w:styleId="14">
    <w:name w:val="Hyperlink"/>
    <w:basedOn w:val="11"/>
    <w:semiHidden/>
    <w:unhideWhenUsed/>
    <w:uiPriority w:val="99"/>
    <w:rPr>
      <w:color w:val="0000FF"/>
      <w:u w:val="single"/>
    </w:rPr>
  </w:style>
  <w:style w:type="paragraph" w:styleId="15">
    <w:name w:val="Normal (Web)"/>
    <w:basedOn w:val="1"/>
    <w:semiHidden/>
    <w:unhideWhenUsed/>
    <w:qFormat/>
    <w:uiPriority w:val="99"/>
    <w:rPr>
      <w:sz w:val="24"/>
      <w:szCs w:val="24"/>
    </w:rPr>
  </w:style>
  <w:style w:type="paragraph" w:styleId="16">
    <w:name w:val="Subtitle"/>
    <w:basedOn w:val="1"/>
    <w:next w:val="1"/>
    <w:link w:val="29"/>
    <w:qFormat/>
    <w:uiPriority w:val="11"/>
    <w:rPr>
      <w:rFonts w:eastAsiaTheme="majorEastAsia" w:cstheme="majorBidi"/>
      <w:color w:val="595959" w:themeColor="text1" w:themeTint="A6"/>
      <w:spacing w:val="15"/>
      <w:kern w:val="2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table" w:styleId="17">
    <w:name w:val="Table Grid"/>
    <w:basedOn w:val="12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8">
    <w:name w:val="Title"/>
    <w:basedOn w:val="1"/>
    <w:next w:val="1"/>
    <w:link w:val="28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  <w14:ligatures w14:val="standardContextual"/>
    </w:rPr>
  </w:style>
  <w:style w:type="character" w:customStyle="1" w:styleId="19">
    <w:name w:val="Heading 1 Char"/>
    <w:basedOn w:val="11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0">
    <w:name w:val="Heading 2 Char"/>
    <w:basedOn w:val="11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1">
    <w:name w:val="Heading 3 Char"/>
    <w:basedOn w:val="11"/>
    <w:link w:val="4"/>
    <w:semiHidden/>
    <w:qFormat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22">
    <w:name w:val="Heading 4 Char"/>
    <w:basedOn w:val="11"/>
    <w:link w:val="5"/>
    <w:semiHidden/>
    <w:qFormat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23">
    <w:name w:val="Heading 5 Char"/>
    <w:basedOn w:val="11"/>
    <w:link w:val="6"/>
    <w:semiHidden/>
    <w:qFormat/>
    <w:uiPriority w:val="9"/>
    <w:rPr>
      <w:rFonts w:eastAsiaTheme="majorEastAsia" w:cstheme="majorBidi"/>
      <w:color w:val="104862" w:themeColor="accent1" w:themeShade="BF"/>
    </w:rPr>
  </w:style>
  <w:style w:type="character" w:customStyle="1" w:styleId="24">
    <w:name w:val="Heading 6 Char"/>
    <w:basedOn w:val="11"/>
    <w:link w:val="7"/>
    <w:semiHidden/>
    <w:qFormat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Heading 7 Char"/>
    <w:basedOn w:val="11"/>
    <w:link w:val="8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Heading 8 Char"/>
    <w:basedOn w:val="11"/>
    <w:link w:val="9"/>
    <w:semiHidden/>
    <w:qFormat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7">
    <w:name w:val="Heading 9 Char"/>
    <w:basedOn w:val="11"/>
    <w:link w:val="10"/>
    <w:semiHidden/>
    <w:qFormat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8">
    <w:name w:val="Title Char"/>
    <w:basedOn w:val="11"/>
    <w:link w:val="18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9">
    <w:name w:val="Subtitle Char"/>
    <w:basedOn w:val="11"/>
    <w:link w:val="16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0">
    <w:name w:val="Quote"/>
    <w:basedOn w:val="1"/>
    <w:next w:val="1"/>
    <w:link w:val="31"/>
    <w:qFormat/>
    <w:uiPriority w:val="29"/>
    <w:pPr>
      <w:spacing w:before="160"/>
      <w:jc w:val="center"/>
    </w:pPr>
    <w:rPr>
      <w:i/>
      <w:iCs/>
      <w:color w:val="404040" w:themeColor="text1" w:themeTint="BF"/>
      <w:kern w:val="2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character" w:customStyle="1" w:styleId="31">
    <w:name w:val="Quote Char"/>
    <w:basedOn w:val="11"/>
    <w:link w:val="30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2">
    <w:name w:val="List Paragraph"/>
    <w:basedOn w:val="1"/>
    <w:qFormat/>
    <w:uiPriority w:val="34"/>
    <w:pPr>
      <w:ind w:left="720"/>
      <w:contextualSpacing/>
    </w:pPr>
    <w:rPr>
      <w:kern w:val="2"/>
      <w14:ligatures w14:val="standardContextual"/>
    </w:rPr>
  </w:style>
  <w:style w:type="character" w:customStyle="1" w:styleId="33">
    <w:name w:val="Intense Emphasis"/>
    <w:basedOn w:val="11"/>
    <w:qFormat/>
    <w:uiPriority w:val="21"/>
    <w:rPr>
      <w:i/>
      <w:iCs/>
      <w:color w:val="104862" w:themeColor="accent1" w:themeShade="BF"/>
    </w:rPr>
  </w:style>
  <w:style w:type="paragraph" w:styleId="34">
    <w:name w:val="Intense Quote"/>
    <w:basedOn w:val="1"/>
    <w:next w:val="1"/>
    <w:link w:val="35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  <w:kern w:val="2"/>
      <w14:ligatures w14:val="standardContextual"/>
    </w:rPr>
  </w:style>
  <w:style w:type="character" w:customStyle="1" w:styleId="35">
    <w:name w:val="Intense Quote Char"/>
    <w:basedOn w:val="11"/>
    <w:link w:val="34"/>
    <w:qFormat/>
    <w:uiPriority w:val="30"/>
    <w:rPr>
      <w:i/>
      <w:iCs/>
      <w:color w:val="104862" w:themeColor="accent1" w:themeShade="BF"/>
    </w:rPr>
  </w:style>
  <w:style w:type="character" w:customStyle="1" w:styleId="36">
    <w:name w:val="Intense Reference"/>
    <w:basedOn w:val="11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436</Words>
  <Characters>2963</Characters>
  <Lines>112</Lines>
  <Paragraphs>76</Paragraphs>
  <TotalTime>0</TotalTime>
  <ScaleCrop>false</ScaleCrop>
  <LinksUpToDate>false</LinksUpToDate>
  <CharactersWithSpaces>3540</CharactersWithSpaces>
  <Application>WPS Office_12.1.0.25242_F1E327BC-269C-435d-A152-05C5408002CA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2025-07-10T08:27:00Z</dcterms:created>
  <dc:creator>UMAIR SAAD</dc:creator>
  <cp:lastModifiedBy>Mehreen Aftab</cp:lastModifiedBy>
  <dcterms:modified xsi:type="dcterms:W3CDTF">2026-03-31T11:18:11Z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52b19f8c-a4e4-4729-b23d-c4ef6d1d4689</vt:lpwstr>
  </property>
  <property fmtid="{D5CDD505-2E9C-101B-9397-08002B2CF9AE}" pid="3" name="KSOProductBuildVer">
    <vt:lpwstr>1033-12.1.0.25242</vt:lpwstr>
  </property>
  <property fmtid="{D5CDD505-2E9C-101B-9397-08002B2CF9AE}" pid="4" name="ICV">
    <vt:lpwstr>7286995586874CD0AD286AA01004B188_12</vt:lpwstr>
  </property>
  <property fmtid="{D5CDD505-2E9C-101B-9397-08002B2CF9AE}" pid="5" name="KSOTemplateDocerSaveRecord">
    <vt:lpwstr>eyJoZGlkIjoiZTg3Nzk2MjA3OTUxYjYxYzA2ZWNlOWRiYzI1ZWE4NWUiLCJ1c2VySWQiOiI1Njc0NzM2MTE1MTcifQ==</vt:lpwstr>
  </property>
</Properties>
</file>