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AB30" w14:textId="77777777" w:rsidR="00C14DCC" w:rsidRDefault="00000000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  <w:t>S</w:t>
      </w:r>
      <w:r>
        <w:rPr>
          <w:rFonts w:ascii="Times New Roman" w:hAnsi="Times New Roman" w:cs="Times New Roman" w:hint="eastAsia"/>
          <w:b/>
          <w:bCs/>
          <w:color w:val="000000"/>
          <w:sz w:val="32"/>
          <w:szCs w:val="32"/>
          <w:lang w:bidi="ar"/>
        </w:rPr>
        <w:t xml:space="preserve">upporting </w:t>
      </w:r>
      <w:proofErr w:type="spellStart"/>
      <w:r>
        <w:rPr>
          <w:rFonts w:ascii="Times New Roman" w:hAnsi="Times New Roman" w:cs="Times New Roman" w:hint="eastAsia"/>
          <w:b/>
          <w:bCs/>
          <w:color w:val="000000"/>
          <w:sz w:val="32"/>
          <w:szCs w:val="32"/>
          <w:lang w:bidi="ar"/>
        </w:rPr>
        <w:t>informations</w:t>
      </w:r>
      <w:proofErr w:type="spellEnd"/>
    </w:p>
    <w:p w14:paraId="41CD0095" w14:textId="75643DCB" w:rsidR="0066212E" w:rsidRPr="0066212E" w:rsidRDefault="00BE572A">
      <w:pPr>
        <w:pStyle w:val="TOC1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r w:rsidRPr="0066212E"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  <w:fldChar w:fldCharType="begin"/>
      </w:r>
      <w:r w:rsidRPr="0066212E"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  <w:instrText xml:space="preserve"> TOC \o "1-3" \h \z \u </w:instrText>
      </w:r>
      <w:r w:rsidRPr="0066212E"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  <w:fldChar w:fldCharType="separate"/>
      </w:r>
      <w:hyperlink w:anchor="_Toc225517963" w:history="1">
        <w:bookmarkStart w:id="0" w:name="OLE_LINK4"/>
        <w:r w:rsidR="0066212E" w:rsidRPr="00D67785">
          <w:rPr>
            <w:rStyle w:val="af3"/>
            <w:rFonts w:ascii="Times New Roman" w:hAnsi="Times New Roman" w:cs="Times New Roman"/>
            <w:b/>
            <w:bCs/>
            <w:noProof/>
            <w:lang w:bidi="ar"/>
          </w:rPr>
          <w:t>Text S1</w:t>
        </w:r>
        <w:bookmarkEnd w:id="0"/>
        <w:r w:rsidR="00D67785" w:rsidRPr="00D67785">
          <w:rPr>
            <w:rStyle w:val="af3"/>
          </w:rPr>
          <w:t xml:space="preserve"> </w:t>
        </w:r>
        <w:r w:rsidR="00D67785" w:rsidRPr="00D67785">
          <w:rPr>
            <w:rStyle w:val="af3"/>
            <w:rFonts w:ascii="Times New Roman" w:hAnsi="Times New Roman" w:cs="Times New Roman"/>
            <w:b/>
            <w:bCs/>
          </w:rPr>
          <w:t xml:space="preserve">Details of </w:t>
        </w:r>
        <w:r w:rsidR="00D67785">
          <w:rPr>
            <w:rStyle w:val="af3"/>
            <w:rFonts w:ascii="Times New Roman" w:eastAsia="宋体" w:hAnsi="Times New Roman" w:cs="Times New Roman" w:hint="eastAsia"/>
            <w:b/>
            <w:bCs/>
            <w:noProof/>
          </w:rPr>
          <w:t>f</w:t>
        </w:r>
        <w:r w:rsidR="00D67785" w:rsidRPr="00D67785">
          <w:rPr>
            <w:rStyle w:val="af3"/>
            <w:rFonts w:ascii="Times New Roman" w:eastAsia="宋体" w:hAnsi="Times New Roman" w:cs="Times New Roman"/>
            <w:b/>
            <w:bCs/>
            <w:noProof/>
          </w:rPr>
          <w:t>ield experiment water management</w:t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_Toc225517963 \h </w:instrText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  <w:t>2</w:t>
        </w:r>
        <w:r w:rsidR="0066212E" w:rsidRPr="00D67785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9C2EDD" w14:textId="4D769EDA" w:rsidR="0066212E" w:rsidRPr="0066212E" w:rsidRDefault="0066212E" w:rsidP="0066212E">
      <w:pPr>
        <w:pStyle w:val="TOC1"/>
        <w:jc w:val="both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64" w:history="1">
        <w:r w:rsidRPr="00D67785">
          <w:rPr>
            <w:rStyle w:val="af3"/>
            <w:rFonts w:ascii="Times New Roman" w:hAnsi="Times New Roman" w:cs="Times New Roman"/>
            <w:b/>
            <w:bCs/>
            <w:noProof/>
            <w:lang w:bidi="ar"/>
          </w:rPr>
          <w:t>Text S2</w:t>
        </w:r>
        <w:r w:rsidRPr="00D67785">
          <w:rPr>
            <w:rStyle w:val="af3"/>
            <w:rFonts w:ascii="Times New Roman" w:eastAsia="宋体" w:hAnsi="Times New Roman" w:cs="Times New Roman"/>
            <w:noProof/>
          </w:rPr>
          <w:t xml:space="preserve"> </w:t>
        </w:r>
        <w:r w:rsidR="00D67785" w:rsidRPr="00D67785">
          <w:rPr>
            <w:rStyle w:val="af3"/>
            <w:rFonts w:ascii="Times New Roman" w:hAnsi="Times New Roman" w:cs="Times New Roman"/>
            <w:b/>
            <w:bCs/>
            <w:noProof/>
            <w:lang w:bidi="ar"/>
          </w:rPr>
          <w:t>Field implementation strategies for water management</w:t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_Toc225517964 \h </w:instrText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  <w:t>2</w:t>
        </w:r>
        <w:r w:rsidRPr="00D67785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BED337" w14:textId="6A1A55A1" w:rsidR="0066212E" w:rsidRPr="0066212E" w:rsidRDefault="0066212E">
      <w:pPr>
        <w:pStyle w:val="TOC1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65" w:history="1">
        <w:r w:rsidRPr="0066212E">
          <w:rPr>
            <w:rStyle w:val="af3"/>
            <w:rFonts w:ascii="Times New Roman" w:hAnsi="Times New Roman" w:cs="Times New Roman"/>
            <w:b/>
            <w:bCs/>
            <w:noProof/>
            <w:lang w:bidi="ar"/>
          </w:rPr>
          <w:t>Text S3</w:t>
        </w:r>
        <w:r w:rsidRPr="0066212E">
          <w:rPr>
            <w:rStyle w:val="af3"/>
            <w:rFonts w:ascii="Times New Roman" w:eastAsia="宋体" w:hAnsi="Times New Roman" w:cs="Times New Roman"/>
            <w:noProof/>
          </w:rPr>
          <w:t xml:space="preserve"> </w:t>
        </w:r>
        <w:r w:rsidRPr="0066212E">
          <w:rPr>
            <w:rStyle w:val="af3"/>
            <w:rFonts w:ascii="Times New Roman" w:hAnsi="Times New Roman" w:cs="Times New Roman"/>
            <w:b/>
            <w:bCs/>
            <w:noProof/>
            <w:lang w:bidi="ar"/>
          </w:rPr>
          <w:t>Detailed procedures for sequencing and bioinformatic analysis</w:t>
        </w:r>
        <w:r w:rsidRPr="0066212E">
          <w:rPr>
            <w:rFonts w:ascii="Times New Roman" w:hAnsi="Times New Roman" w:cs="Times New Roman"/>
            <w:noProof/>
            <w:webHidden/>
          </w:rPr>
          <w:tab/>
        </w:r>
        <w:r w:rsidRPr="0066212E">
          <w:rPr>
            <w:rFonts w:ascii="Times New Roman" w:hAnsi="Times New Roman" w:cs="Times New Roman"/>
            <w:noProof/>
            <w:webHidden/>
          </w:rPr>
          <w:fldChar w:fldCharType="begin"/>
        </w:r>
        <w:r w:rsidRPr="0066212E">
          <w:rPr>
            <w:rFonts w:ascii="Times New Roman" w:hAnsi="Times New Roman" w:cs="Times New Roman"/>
            <w:noProof/>
            <w:webHidden/>
          </w:rPr>
          <w:instrText xml:space="preserve"> PAGEREF _Toc225517965 \h </w:instrText>
        </w:r>
        <w:r w:rsidRPr="0066212E">
          <w:rPr>
            <w:rFonts w:ascii="Times New Roman" w:hAnsi="Times New Roman" w:cs="Times New Roman"/>
            <w:noProof/>
            <w:webHidden/>
          </w:rPr>
        </w:r>
        <w:r w:rsidRPr="0066212E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66212E">
          <w:rPr>
            <w:rFonts w:ascii="Times New Roman" w:hAnsi="Times New Roman" w:cs="Times New Roman"/>
            <w:noProof/>
            <w:webHidden/>
          </w:rPr>
          <w:t>3</w:t>
        </w:r>
        <w:r w:rsidRPr="0066212E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DB9B36E" w14:textId="4232845D" w:rsidR="0066212E" w:rsidRPr="0066212E" w:rsidRDefault="0066212E">
      <w:pPr>
        <w:pStyle w:val="TOC1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66" w:history="1"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>Fig. S1 The cadmium accumulation amounts in different parts of rice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_Toc225517966 \h </w:instrTex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>5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25639F" w14:textId="2D5CA00B" w:rsidR="0066212E" w:rsidRPr="0066212E" w:rsidRDefault="0066212E" w:rsidP="0066212E">
      <w:pPr>
        <w:pStyle w:val="TOC1"/>
        <w:jc w:val="both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67" w:history="1"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>Table S1</w:t>
        </w:r>
        <w:r w:rsidRPr="0066212E">
          <w:rPr>
            <w:rStyle w:val="af3"/>
            <w:rFonts w:ascii="Times New Roman" w:eastAsiaTheme="majorEastAsia" w:hAnsi="Times New Roman" w:cs="Times New Roman"/>
            <w:b/>
            <w:bCs/>
            <w:szCs w:val="21"/>
          </w:rPr>
          <w:t xml:space="preserve"> </w:t>
        </w:r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>The basic physical and chemical properties of the pot soil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_Toc225517967 \h </w:instrTex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>6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6B8A61" w14:textId="650CA8B5" w:rsidR="0066212E" w:rsidRPr="0066212E" w:rsidRDefault="0066212E">
      <w:pPr>
        <w:pStyle w:val="TOC1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68" w:history="1"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 xml:space="preserve">Table S2 Soil properties the field site 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_Toc225517968 \h </w:instrTex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>6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A866E1" w14:textId="6B5DFEEB" w:rsidR="0066212E" w:rsidRPr="0066212E" w:rsidRDefault="0066212E">
      <w:pPr>
        <w:pStyle w:val="TOC1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69" w:history="1"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 xml:space="preserve">Table S3 Determination of Cd </w:t>
        </w:r>
        <w:r w:rsidR="00446F48">
          <w:rPr>
            <w:rStyle w:val="af3"/>
            <w:rFonts w:ascii="Times New Roman" w:hAnsi="Times New Roman" w:cs="Times New Roman" w:hint="eastAsia"/>
            <w:b/>
            <w:bCs/>
            <w:noProof/>
          </w:rPr>
          <w:t>c</w:t>
        </w:r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 xml:space="preserve">ontent in </w:t>
        </w:r>
        <w:r w:rsidR="00446F48">
          <w:rPr>
            <w:rStyle w:val="af3"/>
            <w:rFonts w:ascii="Times New Roman" w:hAnsi="Times New Roman" w:cs="Times New Roman" w:hint="eastAsia"/>
            <w:b/>
            <w:bCs/>
            <w:noProof/>
          </w:rPr>
          <w:t>i</w:t>
        </w:r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 xml:space="preserve">rrigation </w:t>
        </w:r>
        <w:r w:rsidR="00446F48">
          <w:rPr>
            <w:rStyle w:val="af3"/>
            <w:rFonts w:ascii="Times New Roman" w:hAnsi="Times New Roman" w:cs="Times New Roman" w:hint="eastAsia"/>
            <w:b/>
            <w:bCs/>
            <w:noProof/>
          </w:rPr>
          <w:t>w</w:t>
        </w:r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>ater of the field test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_Toc225517969 \h </w:instrTex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>7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7FB60E" w14:textId="55748815" w:rsidR="0066212E" w:rsidRPr="0066212E" w:rsidRDefault="0066212E" w:rsidP="0066212E">
      <w:pPr>
        <w:pStyle w:val="TOC1"/>
        <w:jc w:val="both"/>
        <w:rPr>
          <w:rFonts w:ascii="Times New Roman" w:hAnsi="Times New Roman" w:cs="Times New Roman"/>
          <w:noProof/>
          <w:sz w:val="22"/>
          <w:szCs w:val="24"/>
          <w14:ligatures w14:val="standardContextual"/>
        </w:rPr>
      </w:pPr>
      <w:hyperlink w:anchor="_Toc225517970" w:history="1"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>Table S4</w:t>
        </w:r>
        <w:r w:rsidRPr="0066212E">
          <w:rPr>
            <w:rStyle w:val="af3"/>
            <w:rFonts w:ascii="Times New Roman" w:hAnsi="Times New Roman" w:cs="Times New Roman"/>
            <w:b/>
            <w:bCs/>
            <w:szCs w:val="21"/>
            <w:lang w:bidi="ar"/>
          </w:rPr>
          <w:t xml:space="preserve"> </w:t>
        </w:r>
        <w:r w:rsidRPr="0066212E">
          <w:rPr>
            <w:rStyle w:val="af3"/>
            <w:rFonts w:ascii="Times New Roman" w:hAnsi="Times New Roman" w:cs="Times New Roman"/>
            <w:b/>
            <w:bCs/>
            <w:noProof/>
          </w:rPr>
          <w:t>Determination of Cd Content in dry and wet atmospheric deposition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ab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begin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instrText xml:space="preserve"> PAGEREF _Toc225517970 \h </w:instrTex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separate"/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t>8</w:t>
        </w:r>
        <w:r w:rsidRPr="0066212E">
          <w:rPr>
            <w:rStyle w:val="af3"/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393D19" w14:textId="12781BB8" w:rsidR="00BE572A" w:rsidRPr="00FD125D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  <w:r w:rsidRPr="0066212E"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  <w:fldChar w:fldCharType="end"/>
      </w:r>
    </w:p>
    <w:p w14:paraId="624B71B5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42A2B59F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72F8D235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38C7407C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4A4A9C88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20F7C1C9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75118C06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6F5A24FA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17142C6A" w14:textId="77777777" w:rsidR="000D218D" w:rsidRDefault="000D218D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69802B70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3D6F9009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7A7D1C74" w14:textId="77777777" w:rsidR="00BE572A" w:rsidRDefault="00BE572A">
      <w:pPr>
        <w:spacing w:line="22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bidi="ar"/>
        </w:rPr>
      </w:pPr>
    </w:p>
    <w:p w14:paraId="07DE7CF8" w14:textId="4B85B43C" w:rsidR="00D67785" w:rsidRPr="00D67785" w:rsidRDefault="00000000" w:rsidP="00D67785">
      <w:pPr>
        <w:pStyle w:val="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1"/>
          <w:szCs w:val="21"/>
          <w:lang w:bidi="ar"/>
        </w:rPr>
      </w:pPr>
      <w:bookmarkStart w:id="1" w:name="_Toc225517963"/>
      <w:bookmarkStart w:id="2" w:name="OLE_LINK1"/>
      <w:r w:rsidRPr="00F66F17">
        <w:rPr>
          <w:rFonts w:ascii="Times New Roman" w:hAnsi="Times New Roman" w:cs="Times New Roman"/>
          <w:b/>
          <w:bCs/>
          <w:color w:val="auto"/>
          <w:sz w:val="21"/>
          <w:szCs w:val="21"/>
          <w:lang w:bidi="ar"/>
        </w:rPr>
        <w:lastRenderedPageBreak/>
        <w:t>Text S1</w:t>
      </w:r>
      <w:bookmarkStart w:id="3" w:name="_Hlk203574477"/>
      <w:r w:rsidR="0066212E" w:rsidRPr="0066212E">
        <w:rPr>
          <w:rFonts w:ascii="Times New Roman" w:eastAsia="宋体" w:hAnsi="Times New Roman" w:cs="Times New Roman"/>
          <w:color w:val="auto"/>
          <w:sz w:val="21"/>
          <w:szCs w:val="20"/>
        </w:rPr>
        <w:t xml:space="preserve"> </w:t>
      </w:r>
      <w:bookmarkEnd w:id="1"/>
      <w:bookmarkEnd w:id="3"/>
      <w:r w:rsidR="00D67785" w:rsidRPr="00D67785">
        <w:rPr>
          <w:rFonts w:ascii="Times New Roman" w:hAnsi="Times New Roman" w:cs="Times New Roman" w:hint="eastAsia"/>
          <w:b/>
          <w:bCs/>
          <w:color w:val="auto"/>
          <w:sz w:val="21"/>
          <w:szCs w:val="21"/>
          <w:lang w:bidi="ar"/>
        </w:rPr>
        <w:t>Details of field experiment water management</w:t>
      </w:r>
    </w:p>
    <w:p w14:paraId="043E6BC6" w14:textId="77777777" w:rsidR="00C14DCC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  <w:bookmarkStart w:id="4" w:name="OLE_LINK596"/>
      <w:bookmarkStart w:id="5" w:name="OLE_LINK597"/>
      <w:bookmarkStart w:id="6" w:name="OLE_LINK648"/>
      <w:bookmarkStart w:id="7" w:name="OLE_LINK649"/>
      <w:bookmarkEnd w:id="2"/>
      <w:r>
        <w:rPr>
          <w:rFonts w:ascii="Times New Roman" w:eastAsia="宋体" w:hAnsi="Times New Roman" w:cs="Times New Roman"/>
          <w:szCs w:val="20"/>
          <w:lang w:bidi="ar"/>
        </w:rPr>
        <w:t>The conventional irrigation (CK) treatment adopted the traditional water management method for rice cultivation, which involved draining and sun-drying the soil during the peak tillering stage and the rice maturation period, while keeping the fields flooded at a depth of 2-3 cm throughout the rest of the growth period. The specific water management groups</w:t>
      </w:r>
      <w:r>
        <w:rPr>
          <w:rFonts w:ascii="Times New Roman" w:eastAsia="宋体" w:hAnsi="Times New Roman" w:cs="Times New Roman" w:hint="eastAsia"/>
          <w:szCs w:val="20"/>
          <w:lang w:bidi="ar"/>
        </w:rPr>
        <w:t xml:space="preserve"> (</w:t>
      </w:r>
      <w:r>
        <w:rPr>
          <w:rFonts w:ascii="Times New Roman" w:eastAsia="宋体" w:hAnsi="Times New Roman" w:cs="Times New Roman"/>
          <w:szCs w:val="20"/>
          <w:lang w:bidi="ar"/>
        </w:rPr>
        <w:t>WMG</w:t>
      </w:r>
      <w:r>
        <w:rPr>
          <w:rFonts w:ascii="Times New Roman" w:eastAsia="宋体" w:hAnsi="Times New Roman" w:cs="Times New Roman" w:hint="eastAsia"/>
          <w:szCs w:val="20"/>
          <w:lang w:bidi="ar"/>
        </w:rPr>
        <w:t>)</w:t>
      </w:r>
      <w:r>
        <w:rPr>
          <w:rFonts w:ascii="Times New Roman" w:eastAsia="宋体" w:hAnsi="Times New Roman" w:cs="Times New Roman"/>
          <w:szCs w:val="20"/>
          <w:lang w:bidi="ar"/>
        </w:rPr>
        <w:t xml:space="preserve"> comprised three distinct treatments, each with specific implementation protocols: </w:t>
      </w:r>
      <w:bookmarkStart w:id="8" w:name="OLE_LINK609"/>
      <w:bookmarkStart w:id="9" w:name="OLE_LINK608"/>
      <w:r>
        <w:rPr>
          <w:rFonts w:ascii="Times New Roman" w:eastAsia="宋体" w:hAnsi="Times New Roman" w:cs="Times New Roman"/>
          <w:szCs w:val="20"/>
          <w:lang w:bidi="ar"/>
        </w:rPr>
        <w:t xml:space="preserve">WMG1 involved initiating natural drying during the late seedling stage until the soil exhibits initial cracking, followed by replenishing moisture to achieve a soil water content of 40%-45%, </w:t>
      </w:r>
      <w:bookmarkStart w:id="10" w:name="OLE_LINK611"/>
      <w:bookmarkStart w:id="11" w:name="OLE_LINK610"/>
      <w:bookmarkEnd w:id="8"/>
      <w:bookmarkEnd w:id="9"/>
      <w:r>
        <w:rPr>
          <w:rFonts w:ascii="Times New Roman" w:eastAsia="宋体" w:hAnsi="Times New Roman" w:cs="Times New Roman"/>
          <w:szCs w:val="20"/>
          <w:lang w:bidi="ar"/>
        </w:rPr>
        <w:t>this cycle was repeated until the late heading and grain-filling stage, after which drainage was implemented until rice maturity.</w:t>
      </w:r>
      <w:bookmarkEnd w:id="10"/>
      <w:bookmarkEnd w:id="11"/>
      <w:r>
        <w:rPr>
          <w:rFonts w:ascii="Times New Roman" w:eastAsia="宋体" w:hAnsi="Times New Roman" w:cs="Times New Roman"/>
          <w:szCs w:val="20"/>
          <w:lang w:bidi="ar"/>
        </w:rPr>
        <w:t xml:space="preserve"> WMG2 followed a similar procedure, commencing natural drying at the post-seedling stage until initial soil cracking, followed by rehydration to maintain 40%-45% soil moisture content, with this cycle repeated until maturity. WMG3 implemented natural drying post-seedling stage until leaf shrinkage occurs, followed by rehydration to maintain 40%-45% soil moisture content, with this cycle repeated until maturity.</w:t>
      </w:r>
      <w:bookmarkEnd w:id="4"/>
      <w:bookmarkEnd w:id="5"/>
    </w:p>
    <w:p w14:paraId="6D547A81" w14:textId="77777777" w:rsidR="007F08B7" w:rsidRDefault="007F08B7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</w:p>
    <w:p w14:paraId="1BAD88BA" w14:textId="6B631173" w:rsidR="00D67785" w:rsidRPr="00D67785" w:rsidRDefault="007F08B7" w:rsidP="00D67785">
      <w:pPr>
        <w:pStyle w:val="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1"/>
          <w:szCs w:val="21"/>
          <w:lang w:bidi="ar"/>
        </w:rPr>
      </w:pPr>
      <w:bookmarkStart w:id="12" w:name="_Toc225517964"/>
      <w:bookmarkEnd w:id="6"/>
      <w:bookmarkEnd w:id="7"/>
      <w:r w:rsidRPr="00F66F17">
        <w:rPr>
          <w:rFonts w:ascii="Times New Roman" w:hAnsi="Times New Roman" w:cs="Times New Roman"/>
          <w:b/>
          <w:bCs/>
          <w:color w:val="auto"/>
          <w:sz w:val="21"/>
          <w:szCs w:val="21"/>
          <w:lang w:bidi="ar"/>
        </w:rPr>
        <w:t>Text S</w:t>
      </w:r>
      <w:r w:rsidRPr="00F66F17">
        <w:rPr>
          <w:rFonts w:ascii="Times New Roman" w:hAnsi="Times New Roman" w:cs="Times New Roman" w:hint="eastAsia"/>
          <w:b/>
          <w:bCs/>
          <w:color w:val="auto"/>
          <w:sz w:val="21"/>
          <w:szCs w:val="21"/>
          <w:lang w:bidi="ar"/>
        </w:rPr>
        <w:t>2</w:t>
      </w:r>
      <w:r w:rsidR="0066212E" w:rsidRPr="0066212E">
        <w:rPr>
          <w:rFonts w:ascii="Times New Roman" w:eastAsia="宋体" w:hAnsi="Times New Roman" w:cs="Times New Roman" w:hint="eastAsia"/>
          <w:color w:val="auto"/>
          <w:sz w:val="21"/>
          <w:szCs w:val="20"/>
        </w:rPr>
        <w:t xml:space="preserve"> </w:t>
      </w:r>
      <w:bookmarkEnd w:id="12"/>
      <w:r w:rsidR="00D67785" w:rsidRPr="00D67785">
        <w:rPr>
          <w:rFonts w:ascii="Times New Roman" w:hAnsi="Times New Roman" w:cs="Times New Roman"/>
          <w:b/>
          <w:bCs/>
          <w:color w:val="auto"/>
          <w:sz w:val="21"/>
          <w:szCs w:val="21"/>
          <w:lang w:bidi="ar"/>
        </w:rPr>
        <w:t>Field implementation strategies for water management</w:t>
      </w:r>
    </w:p>
    <w:p w14:paraId="01C45728" w14:textId="77777777" w:rsidR="00C14DCC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  <w:r>
        <w:rPr>
          <w:rFonts w:ascii="Times New Roman" w:eastAsia="宋体" w:hAnsi="Times New Roman" w:cs="Times New Roman"/>
          <w:szCs w:val="20"/>
          <w:lang w:bidi="ar"/>
        </w:rPr>
        <w:t>(1) Conventional practice (CK), simulating local farming practices—fields were flooded during the early growth stage, drained at the tillering stage, re-flooded thereafter, and finally drained again from the late grain-filling stage to maturity; (2) Continuous flooding (FI)—maintaining a 2–5 cm standing water</w:t>
      </w:r>
      <w:r w:rsidRPr="005E70C7">
        <w:rPr>
          <w:rFonts w:ascii="Times New Roman" w:eastAsia="宋体" w:hAnsi="Times New Roman" w:cs="Times New Roman"/>
          <w:szCs w:val="20"/>
          <w:lang w:bidi="ar"/>
        </w:rPr>
        <w:t xml:space="preserve"> layer throughout the entire growth period, with water depth adjusted according to plant height; and (3)</w:t>
      </w:r>
      <w:bookmarkStart w:id="13" w:name="OLE_LINK606"/>
      <w:bookmarkStart w:id="14" w:name="OLE_LINK607"/>
      <w:r w:rsidRPr="005E70C7">
        <w:t xml:space="preserve"> </w:t>
      </w:r>
      <w:r w:rsidRPr="005E70C7">
        <w:rPr>
          <w:rFonts w:ascii="Times New Roman" w:eastAsia="宋体" w:hAnsi="Times New Roman" w:cs="Times New Roman"/>
          <w:szCs w:val="20"/>
          <w:lang w:bidi="ar"/>
        </w:rPr>
        <w:t>Improved water management (WM) consisted of two phases. From the post‑transplanting seedling recovery stage to the late grain‑filling stage, alternating wetting and drying cycles were implemented: during each drying phase, the soil was allowed to develop visible cracks while ensuring normal rice growth; during each flooding phase, a 1–2 cm surface water layer was maintained, after which the next drying cycle commenced. From the late grain‑filling stage to maturity, continuous drainage was applied until rice reached maturity.</w:t>
      </w:r>
    </w:p>
    <w:p w14:paraId="7AE6A5E4" w14:textId="77777777" w:rsidR="007F08B7" w:rsidRPr="005E70C7" w:rsidRDefault="007F08B7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</w:p>
    <w:p w14:paraId="3BAE37B8" w14:textId="24891708" w:rsidR="007F08B7" w:rsidRPr="00F66F17" w:rsidRDefault="007F08B7" w:rsidP="007F08B7">
      <w:pPr>
        <w:pStyle w:val="1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bidi="ar"/>
        </w:rPr>
      </w:pPr>
      <w:bookmarkStart w:id="15" w:name="_Toc225517965"/>
      <w:bookmarkEnd w:id="13"/>
      <w:bookmarkEnd w:id="14"/>
      <w:r w:rsidRPr="00F66F17">
        <w:rPr>
          <w:rFonts w:ascii="Times New Roman" w:hAnsi="Times New Roman" w:cs="Times New Roman"/>
          <w:b/>
          <w:bCs/>
          <w:color w:val="auto"/>
          <w:sz w:val="24"/>
          <w:szCs w:val="24"/>
          <w:lang w:bidi="ar"/>
        </w:rPr>
        <w:t>Text S</w:t>
      </w:r>
      <w:r w:rsidRPr="00F66F17">
        <w:rPr>
          <w:rFonts w:ascii="Times New Roman" w:hAnsi="Times New Roman" w:cs="Times New Roman" w:hint="eastAsia"/>
          <w:b/>
          <w:bCs/>
          <w:color w:val="auto"/>
          <w:sz w:val="24"/>
          <w:szCs w:val="24"/>
          <w:lang w:bidi="ar"/>
        </w:rPr>
        <w:t>3</w:t>
      </w:r>
      <w:r w:rsidR="0066212E" w:rsidRPr="0066212E">
        <w:rPr>
          <w:rFonts w:ascii="Times New Roman" w:eastAsia="宋体" w:hAnsi="Times New Roman" w:cs="Times New Roman"/>
          <w:color w:val="auto"/>
          <w:sz w:val="21"/>
          <w:szCs w:val="20"/>
        </w:rPr>
        <w:t xml:space="preserve"> </w:t>
      </w:r>
      <w:r w:rsidR="0066212E" w:rsidRPr="0066212E">
        <w:rPr>
          <w:rFonts w:ascii="Times New Roman" w:hAnsi="Times New Roman" w:cs="Times New Roman"/>
          <w:b/>
          <w:bCs/>
          <w:color w:val="auto"/>
          <w:sz w:val="24"/>
          <w:szCs w:val="24"/>
          <w:lang w:bidi="ar"/>
        </w:rPr>
        <w:t>Detailed procedures for sequencing and bioinformatic analysis</w:t>
      </w:r>
      <w:bookmarkEnd w:id="15"/>
    </w:p>
    <w:p w14:paraId="488D17EF" w14:textId="77777777" w:rsidR="00C14DCC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  <w:r>
        <w:rPr>
          <w:rFonts w:ascii="Times New Roman" w:eastAsia="宋体" w:hAnsi="Times New Roman" w:cs="Times New Roman"/>
          <w:szCs w:val="20"/>
          <w:lang w:bidi="ar"/>
        </w:rPr>
        <w:t>Total DNA was extracted from soil samples collected at the grain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 xml:space="preserve">filling stage across all treatments using the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TGuide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S96 Magnetic Universal DNA Kit (DP812,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Tiangen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, Beijing, China) </w:t>
      </w:r>
      <w:r>
        <w:rPr>
          <w:rFonts w:ascii="Times New Roman" w:eastAsia="宋体" w:hAnsi="Times New Roman" w:cs="Times New Roman"/>
          <w:szCs w:val="20"/>
          <w:lang w:bidi="ar"/>
        </w:rPr>
        <w:lastRenderedPageBreak/>
        <w:t>following the manufacturer’s protocol. The V3–V4 hypervariable regions of bacterial 16S rRNA genes were amplified with primers 338F (5′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ACTCCTACGGGAGGCAGCA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3′) and 806R (5′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GGACTACHVGGGTWTCTAAT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3′). Each 10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 xml:space="preserve">μL PCR reaction contained 2.5–4 ng of genomic DNA, 0.3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μL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each of 10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μM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forward and reverse primers, 5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μL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of KOD FX Neo Buffer (2×), 2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μL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of dNTPs (2 mM), 0.2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μL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of KOD FX Neo DNA polymerase, and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ddH₂O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to adjust the final volume. The PCR cycling program consisted of an initial denaturation at 95 °C for 5 min, followed by 25 cycles of denaturation at 95 °C for 30 s, annealing at 50 °C for 30 s, and extension at 72 °C for 30 s, with a final extension at 72 °C for 7 min. All amplified products were subsequently used for library construction by Beijing Biomarker Technologies Co., Ltd., and sequenced on an Illumina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NovaSeq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6000 platform.</w:t>
      </w:r>
    </w:p>
    <w:p w14:paraId="67DBF9AC" w14:textId="77777777" w:rsidR="00C14DCC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  <w:r>
        <w:rPr>
          <w:rFonts w:ascii="Times New Roman" w:eastAsia="宋体" w:hAnsi="Times New Roman" w:cs="Times New Roman"/>
          <w:szCs w:val="20"/>
          <w:lang w:bidi="ar"/>
        </w:rPr>
        <w:t>For microbial diversity analysis, raw sequencing reads were quality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 xml:space="preserve">filtered using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Trimmomatic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(v0.33), followed by primer removal with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Cutadapt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(v1.9.1). Paired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end reads were merged using USEARCH (v10), and chimeric sequences were identified and removed with UCHIME (v8.1), yielding high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quality tags for downstream analyses. Sequences were clustered into operational taxonomic units (OTUs) at 97% similarity using USEARCH (v10.0) and filtered at a threshold of 0.005% of total reads per OTU. Taxonomic assignment of representative OTU sequences was performed against the Silva database. Principal coordinate analysis (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PCoA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>) was conducted based on Bray–</w:t>
      </w:r>
      <w:proofErr w:type="gramStart"/>
      <w:r>
        <w:rPr>
          <w:rFonts w:ascii="Times New Roman" w:eastAsia="宋体" w:hAnsi="Times New Roman" w:cs="Times New Roman"/>
          <w:szCs w:val="20"/>
          <w:lang w:bidi="ar"/>
        </w:rPr>
        <w:t>Curtis</w:t>
      </w:r>
      <w:proofErr w:type="gramEnd"/>
      <w:r>
        <w:rPr>
          <w:rFonts w:ascii="Times New Roman" w:eastAsia="宋体" w:hAnsi="Times New Roman" w:cs="Times New Roman"/>
          <w:szCs w:val="20"/>
          <w:lang w:bidi="ar"/>
        </w:rPr>
        <w:t xml:space="preserve"> distance matrices. Permutational multivariate analysis of variance (PERMANOVA) was performed using the “vegan” package (v2.3</w:t>
      </w:r>
      <w:r>
        <w:rPr>
          <w:rFonts w:ascii="Times New Roman" w:eastAsia="宋体" w:hAnsi="Times New Roman" w:cs="Times New Roman"/>
          <w:szCs w:val="20"/>
          <w:lang w:bidi="ar"/>
        </w:rPr>
        <w:noBreakHyphen/>
        <w:t>0) in R (v3.1.1). Differentially abundant taxa across treatments were identified via linear discriminant analysis effect size (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LEfSe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, version 1.1.1). Functional profiling of the rhizosphere bacterial community was predicted using </w:t>
      </w:r>
      <w:proofErr w:type="spellStart"/>
      <w:r>
        <w:rPr>
          <w:rFonts w:ascii="Times New Roman" w:eastAsia="宋体" w:hAnsi="Times New Roman" w:cs="Times New Roman"/>
          <w:szCs w:val="20"/>
          <w:lang w:bidi="ar"/>
        </w:rPr>
        <w:t>BugBase</w:t>
      </w:r>
      <w:proofErr w:type="spellEnd"/>
      <w:r>
        <w:rPr>
          <w:rFonts w:ascii="Times New Roman" w:eastAsia="宋体" w:hAnsi="Times New Roman" w:cs="Times New Roman"/>
          <w:szCs w:val="20"/>
          <w:lang w:bidi="ar"/>
        </w:rPr>
        <w:t xml:space="preserve"> (v0.1.0) and FAPROTAX (v1.2.6).</w:t>
      </w:r>
    </w:p>
    <w:p w14:paraId="7D06311E" w14:textId="77777777" w:rsidR="00C14DCC" w:rsidRDefault="00C14DCC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i/>
          <w:iCs/>
          <w:szCs w:val="20"/>
          <w:lang w:bidi="ar"/>
        </w:rPr>
      </w:pPr>
    </w:p>
    <w:p w14:paraId="719752D7" w14:textId="77777777" w:rsidR="00C14DCC" w:rsidRDefault="00C14DCC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i/>
          <w:iCs/>
          <w:szCs w:val="20"/>
          <w:lang w:bidi="ar"/>
        </w:rPr>
      </w:pPr>
    </w:p>
    <w:p w14:paraId="5552078D" w14:textId="77777777" w:rsidR="00C14DCC" w:rsidRDefault="00C14DCC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</w:p>
    <w:p w14:paraId="46F89965" w14:textId="77777777" w:rsidR="00C14DCC" w:rsidRDefault="00C14DCC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</w:p>
    <w:p w14:paraId="4A21841E" w14:textId="77777777" w:rsidR="00C14DCC" w:rsidRDefault="00000000">
      <w:pPr>
        <w:rPr>
          <w:rFonts w:ascii="Times New Roman" w:eastAsia="宋体" w:hAnsi="Times New Roman" w:cs="Times New Roman"/>
          <w:szCs w:val="20"/>
          <w:lang w:bidi="ar"/>
        </w:rPr>
      </w:pPr>
      <w:r>
        <w:rPr>
          <w:rFonts w:ascii="Times New Roman" w:eastAsia="宋体" w:hAnsi="Times New Roman" w:cs="Times New Roman"/>
          <w:szCs w:val="20"/>
          <w:lang w:bidi="ar"/>
        </w:rPr>
        <w:br w:type="page"/>
      </w:r>
    </w:p>
    <w:p w14:paraId="02D6573B" w14:textId="77777777" w:rsidR="00C14DCC" w:rsidRDefault="00C14DCC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  <w:lang w:bidi="ar"/>
        </w:rPr>
      </w:pPr>
    </w:p>
    <w:p w14:paraId="73DD2E39" w14:textId="77777777" w:rsidR="00C14DCC" w:rsidRDefault="00C14DCC">
      <w:pPr>
        <w:spacing w:line="220" w:lineRule="atLeast"/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</w:p>
    <w:p w14:paraId="07433EF8" w14:textId="77777777" w:rsidR="00C14DCC" w:rsidRDefault="00000000" w:rsidP="001014F6">
      <w:pPr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  <w:r>
        <w:rPr>
          <w:noProof/>
          <w:sz w:val="24"/>
          <w:szCs w:val="28"/>
        </w:rPr>
        <w:drawing>
          <wp:inline distT="0" distB="0" distL="0" distR="0" wp14:anchorId="5D189CC1" wp14:editId="4FB7DEF2">
            <wp:extent cx="4973955" cy="3976370"/>
            <wp:effectExtent l="0" t="0" r="7620" b="5080"/>
            <wp:docPr id="5" name="图片 5" descr="E:\LSH 浏阳\2024盆栽数据 -Cd -6.18-发给黄蕊\2024盆栽数据 -Cd -6.18\Fi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LSH 浏阳\2024盆栽数据 -Cd -6.18-发给黄蕊\2024盆栽数据 -Cd -6.18\Fi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Cs w:val="21"/>
          <w:lang w:bidi="ar"/>
        </w:rPr>
        <w:t xml:space="preserve"> </w:t>
      </w:r>
    </w:p>
    <w:p w14:paraId="39D356AF" w14:textId="77777777" w:rsidR="00C14DCC" w:rsidRDefault="00000000">
      <w:pPr>
        <w:spacing w:beforeLines="50" w:before="156" w:afterLines="50" w:after="156" w:line="220" w:lineRule="atLeast"/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  <w:bookmarkStart w:id="16" w:name="_Toc225517966"/>
      <w:r w:rsidRPr="00FD125D">
        <w:rPr>
          <w:rStyle w:val="10"/>
          <w:rFonts w:ascii="Times New Roman" w:hAnsi="Times New Roman" w:cs="Times New Roman"/>
          <w:b/>
          <w:bCs/>
          <w:color w:val="auto"/>
          <w:sz w:val="21"/>
          <w:szCs w:val="21"/>
        </w:rPr>
        <w:t>Fig. S1.</w:t>
      </w:r>
      <w:bookmarkEnd w:id="16"/>
      <w:r>
        <w:rPr>
          <w:rFonts w:ascii="Times New Roman" w:hAnsi="Times New Roman" w:cs="Times New Roman" w:hint="eastAsia"/>
          <w:color w:val="000000"/>
          <w:szCs w:val="21"/>
          <w:lang w:bidi="ar"/>
        </w:rPr>
        <w:t xml:space="preserve"> </w:t>
      </w:r>
      <w:bookmarkStart w:id="17" w:name="OLE_LINK3"/>
      <w:r>
        <w:rPr>
          <w:rFonts w:ascii="Times New Roman" w:hAnsi="Times New Roman" w:cs="Times New Roman"/>
          <w:color w:val="000000"/>
          <w:szCs w:val="21"/>
          <w:lang w:bidi="ar"/>
        </w:rPr>
        <w:t>The cadmium accumulation amounts in different parts of ric</w:t>
      </w:r>
      <w:bookmarkEnd w:id="17"/>
      <w:r>
        <w:rPr>
          <w:rFonts w:ascii="Times New Roman" w:hAnsi="Times New Roman" w:cs="Times New Roman"/>
          <w:color w:val="000000"/>
          <w:szCs w:val="21"/>
          <w:lang w:bidi="ar"/>
        </w:rPr>
        <w:t xml:space="preserve">e 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>(root, stem, leaf and spike)</w:t>
      </w:r>
      <w:r>
        <w:rPr>
          <w:rFonts w:ascii="Times New Roman" w:hAnsi="Times New Roman" w:cs="Times New Roman"/>
          <w:color w:val="000000"/>
          <w:szCs w:val="21"/>
          <w:lang w:bidi="ar"/>
        </w:rPr>
        <w:t xml:space="preserve"> during four growth stages under various water management conditions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>.</w:t>
      </w:r>
      <w:r>
        <w:rPr>
          <w:rFonts w:ascii="Times New Roman" w:hAnsi="Times New Roman" w:cs="Times New Roman"/>
          <w:color w:val="000000"/>
          <w:szCs w:val="21"/>
          <w:lang w:bidi="ar"/>
        </w:rPr>
        <w:t xml:space="preserve"> Different letters indicate differences at P &lt; 0.05 among treatments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>.</w:t>
      </w:r>
    </w:p>
    <w:p w14:paraId="7BB13FF4" w14:textId="77777777" w:rsidR="00C14DCC" w:rsidRDefault="00000000">
      <w:pPr>
        <w:rPr>
          <w:rFonts w:ascii="Times New Roman" w:hAnsi="Times New Roman" w:cs="Times New Roman"/>
          <w:color w:val="000000"/>
          <w:szCs w:val="21"/>
          <w:lang w:bidi="ar"/>
        </w:rPr>
      </w:pPr>
      <w:r>
        <w:rPr>
          <w:rFonts w:ascii="Times New Roman" w:hAnsi="Times New Roman" w:cs="Times New Roman"/>
          <w:color w:val="000000"/>
          <w:szCs w:val="21"/>
          <w:lang w:bidi="ar"/>
        </w:rPr>
        <w:br w:type="page"/>
      </w:r>
    </w:p>
    <w:p w14:paraId="59EF5F50" w14:textId="403981D0" w:rsidR="00C14DCC" w:rsidRDefault="00000000" w:rsidP="00F66F17">
      <w:pPr>
        <w:spacing w:beforeLines="50" w:before="156" w:afterLines="50" w:after="156" w:line="220" w:lineRule="atLeast"/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  <w:bookmarkStart w:id="18" w:name="_Toc225517967"/>
      <w:r w:rsidRPr="00876E0B">
        <w:rPr>
          <w:rStyle w:val="10"/>
          <w:rFonts w:ascii="Times New Roman" w:hAnsi="Times New Roman" w:cs="Times New Roman"/>
          <w:b/>
          <w:bCs/>
          <w:color w:val="auto"/>
          <w:sz w:val="21"/>
          <w:szCs w:val="21"/>
        </w:rPr>
        <w:lastRenderedPageBreak/>
        <w:t>Table S1</w:t>
      </w:r>
      <w:bookmarkEnd w:id="18"/>
      <w:r w:rsidRPr="00876E0B">
        <w:rPr>
          <w:rStyle w:val="10"/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bookmarkStart w:id="19" w:name="_Hlk30158257"/>
      <w:r w:rsidR="0066212E" w:rsidRPr="0066212E">
        <w:rPr>
          <w:rFonts w:ascii="Times New Roman" w:eastAsiaTheme="majorEastAsia" w:hAnsi="Times New Roman" w:cs="Times New Roman"/>
          <w:b/>
          <w:bCs/>
          <w:szCs w:val="21"/>
        </w:rPr>
        <w:t>The basic physical and chemical properties of the pot soil</w:t>
      </w:r>
    </w:p>
    <w:tbl>
      <w:tblPr>
        <w:tblW w:w="563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25"/>
        <w:gridCol w:w="852"/>
        <w:gridCol w:w="1560"/>
        <w:gridCol w:w="1137"/>
        <w:gridCol w:w="1418"/>
        <w:gridCol w:w="1419"/>
        <w:gridCol w:w="1562"/>
      </w:tblGrid>
      <w:tr w:rsidR="00C14DCC" w14:paraId="738280E1" w14:textId="77777777">
        <w:trPr>
          <w:trHeight w:val="285"/>
          <w:jc w:val="center"/>
        </w:trPr>
        <w:tc>
          <w:tcPr>
            <w:tcW w:w="529" w:type="pct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19"/>
          <w:p w14:paraId="4F285AA6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soil sample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A834C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pH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D127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Total Cd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39723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Soil organic matter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0EFB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Total nitrogen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70FF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Available phosphorus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E138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Available potassium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017B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Alkali-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hydrolyzable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 nitrogen</w:t>
            </w:r>
          </w:p>
        </w:tc>
      </w:tr>
      <w:tr w:rsidR="00C14DCC" w14:paraId="3C6A3C81" w14:textId="77777777">
        <w:trPr>
          <w:trHeight w:val="285"/>
          <w:jc w:val="center"/>
        </w:trPr>
        <w:tc>
          <w:tcPr>
            <w:tcW w:w="529" w:type="pct"/>
            <w:vMerge/>
            <w:tcBorders>
              <w:top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3697" w14:textId="77777777" w:rsidR="00C14DCC" w:rsidRDefault="00C14D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2C9F" w14:textId="77777777" w:rsidR="00C14DCC" w:rsidRDefault="00C14D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AD403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mg/kg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4417E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g/kg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166C6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g/kg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9844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mg/kg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368E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mg/kg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B4DC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mg/kg</w:t>
            </w:r>
          </w:p>
        </w:tc>
      </w:tr>
      <w:tr w:rsidR="00C14DCC" w14:paraId="65D2FF6B" w14:textId="77777777">
        <w:trPr>
          <w:trHeight w:val="285"/>
          <w:jc w:val="center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FFDF" w14:textId="77777777" w:rsidR="00C14DCC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 xml:space="preserve">pot experiment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F423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5.83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DD2A9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1.69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75F1B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30.00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741C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2.06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4630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3.55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8E7C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55.04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E603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144.01</w:t>
            </w:r>
          </w:p>
        </w:tc>
      </w:tr>
    </w:tbl>
    <w:p w14:paraId="6A9D8F26" w14:textId="77777777" w:rsidR="00C14DCC" w:rsidRDefault="00C14DCC">
      <w:pPr>
        <w:rPr>
          <w:rFonts w:hint="eastAsia"/>
        </w:rPr>
      </w:pPr>
    </w:p>
    <w:p w14:paraId="3989987F" w14:textId="77777777" w:rsidR="00C14DCC" w:rsidRDefault="00C14DCC">
      <w:pPr>
        <w:spacing w:line="220" w:lineRule="atLeast"/>
        <w:rPr>
          <w:rFonts w:ascii="Times New Roman" w:hAnsi="Times New Roman" w:cs="Times New Roman"/>
          <w:color w:val="000000"/>
          <w:szCs w:val="21"/>
          <w:lang w:bidi="ar"/>
        </w:rPr>
      </w:pPr>
    </w:p>
    <w:p w14:paraId="6EAC04FE" w14:textId="19BF75A5" w:rsidR="00C14DCC" w:rsidRPr="0066212E" w:rsidRDefault="00F66F17">
      <w:pPr>
        <w:spacing w:beforeLines="50" w:before="156" w:afterLines="50" w:after="156" w:line="220" w:lineRule="atLeast"/>
        <w:jc w:val="center"/>
        <w:rPr>
          <w:rFonts w:ascii="Times New Roman" w:hAnsi="Times New Roman" w:cs="Times New Roman"/>
          <w:b/>
          <w:bCs/>
          <w:color w:val="000000"/>
          <w:szCs w:val="21"/>
          <w:lang w:bidi="ar"/>
        </w:rPr>
      </w:pPr>
      <w:bookmarkStart w:id="20" w:name="_Toc225517968"/>
      <w:r w:rsidRPr="007F08B7">
        <w:rPr>
          <w:rStyle w:val="10"/>
          <w:rFonts w:ascii="Times New Roman" w:hAnsi="Times New Roman" w:cs="Times New Roman"/>
          <w:b/>
          <w:bCs/>
          <w:color w:val="auto"/>
          <w:sz w:val="21"/>
          <w:szCs w:val="21"/>
        </w:rPr>
        <w:t>Table S</w:t>
      </w:r>
      <w:r>
        <w:rPr>
          <w:rStyle w:val="10"/>
          <w:rFonts w:ascii="Times New Roman" w:hAnsi="Times New Roman" w:cs="Times New Roman" w:hint="eastAsia"/>
          <w:b/>
          <w:bCs/>
          <w:color w:val="auto"/>
          <w:sz w:val="21"/>
          <w:szCs w:val="21"/>
        </w:rPr>
        <w:t>2</w:t>
      </w:r>
      <w:bookmarkEnd w:id="20"/>
      <w:r w:rsidRP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 xml:space="preserve"> </w:t>
      </w:r>
      <w:r w:rsid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>S</w:t>
      </w:r>
      <w:r w:rsidRPr="0066212E">
        <w:rPr>
          <w:rFonts w:ascii="Times New Roman" w:hAnsi="Times New Roman" w:cs="Times New Roman"/>
          <w:b/>
          <w:bCs/>
          <w:color w:val="000000"/>
          <w:szCs w:val="21"/>
          <w:lang w:bidi="ar"/>
        </w:rPr>
        <w:t>oil properties the field site</w:t>
      </w:r>
    </w:p>
    <w:tbl>
      <w:tblPr>
        <w:tblW w:w="563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25"/>
        <w:gridCol w:w="852"/>
        <w:gridCol w:w="1560"/>
        <w:gridCol w:w="1137"/>
        <w:gridCol w:w="1418"/>
        <w:gridCol w:w="1419"/>
        <w:gridCol w:w="1562"/>
      </w:tblGrid>
      <w:tr w:rsidR="00C14DCC" w14:paraId="5E67822B" w14:textId="77777777">
        <w:trPr>
          <w:trHeight w:val="285"/>
          <w:jc w:val="center"/>
        </w:trPr>
        <w:tc>
          <w:tcPr>
            <w:tcW w:w="529" w:type="pct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81B4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soil sample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B2ED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pH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1472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Total Cd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5E6A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Soil organic matter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CBDF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Total nitrogen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E8CE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Available phosphorus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F98E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Available potassium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AACE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Alkali-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hydrolyzable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 nitrogen</w:t>
            </w:r>
          </w:p>
        </w:tc>
      </w:tr>
      <w:tr w:rsidR="00C14DCC" w14:paraId="1DE6985C" w14:textId="77777777">
        <w:trPr>
          <w:trHeight w:val="285"/>
          <w:jc w:val="center"/>
        </w:trPr>
        <w:tc>
          <w:tcPr>
            <w:tcW w:w="529" w:type="pct"/>
            <w:vMerge/>
            <w:tcBorders>
              <w:top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983A9" w14:textId="77777777" w:rsidR="00C14DCC" w:rsidRDefault="00C14D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CD4A4" w14:textId="77777777" w:rsidR="00C14DCC" w:rsidRDefault="00C14D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68725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mg/kg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B820A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g/kg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8D2D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g/kg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E57D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mg/kg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CED0F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mg/kg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F5403" w14:textId="77777777" w:rsidR="00C14DCC" w:rsidRDefault="00000000">
            <w:pPr>
              <w:spacing w:line="276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mg/kg</w:t>
            </w:r>
          </w:p>
        </w:tc>
      </w:tr>
      <w:tr w:rsidR="00C14DCC" w14:paraId="19EA71BC" w14:textId="77777777">
        <w:trPr>
          <w:trHeight w:val="285"/>
          <w:jc w:val="center"/>
        </w:trPr>
        <w:tc>
          <w:tcPr>
            <w:tcW w:w="529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CDC6" w14:textId="77777777" w:rsidR="00C14DCC" w:rsidRDefault="00000000">
            <w:pPr>
              <w:spacing w:line="22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 xml:space="preserve">field site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024B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6.03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B729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0.79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7769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28.77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D6FA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2.28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1ADF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3.05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DC623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50.24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007D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132.58</w:t>
            </w:r>
          </w:p>
        </w:tc>
      </w:tr>
    </w:tbl>
    <w:p w14:paraId="521A0739" w14:textId="77777777" w:rsidR="00C14DCC" w:rsidRDefault="00000000">
      <w:pPr>
        <w:spacing w:line="240" w:lineRule="exact"/>
        <w:ind w:firstLineChars="200" w:firstLine="420"/>
        <w:rPr>
          <w:rFonts w:ascii="Times New Roman" w:hAnsi="Times New Roman" w:cs="Times New Roman"/>
          <w:color w:val="000000"/>
          <w:szCs w:val="21"/>
          <w:lang w:bidi="ar"/>
        </w:rPr>
      </w:pPr>
      <w:r>
        <w:rPr>
          <w:rFonts w:ascii="Times New Roman" w:hAnsi="Times New Roman" w:cs="Times New Roman" w:hint="eastAsia"/>
          <w:color w:val="000000"/>
          <w:szCs w:val="21"/>
          <w:lang w:bidi="ar"/>
        </w:rPr>
        <w:t xml:space="preserve">The study site exhibited a subtropical monsoon climate (mean temperature: 16.7 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>°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>C; annual precipitation: 1500 mm). The experimental paddy featured an optimized irrigation and drainage network to ensure consistent water management.</w:t>
      </w:r>
    </w:p>
    <w:p w14:paraId="4B93EBF3" w14:textId="77777777" w:rsidR="00C14DCC" w:rsidRDefault="00000000">
      <w:pPr>
        <w:widowControl/>
        <w:jc w:val="left"/>
        <w:rPr>
          <w:rFonts w:ascii="Times New Roman" w:hAnsi="Times New Roman" w:cs="Times New Roman"/>
          <w:color w:val="000000"/>
          <w:szCs w:val="21"/>
          <w:lang w:bidi="ar"/>
        </w:rPr>
      </w:pPr>
      <w:r>
        <w:rPr>
          <w:rFonts w:ascii="Times New Roman" w:hAnsi="Times New Roman" w:cs="Times New Roman"/>
          <w:color w:val="000000"/>
          <w:szCs w:val="21"/>
          <w:lang w:bidi="ar"/>
        </w:rPr>
        <w:br w:type="page"/>
      </w:r>
    </w:p>
    <w:p w14:paraId="04CFA5BE" w14:textId="61EAE155" w:rsidR="00C14DCC" w:rsidRDefault="00F66F17">
      <w:pPr>
        <w:spacing w:beforeLines="50" w:before="156" w:afterLines="50" w:after="156"/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  <w:bookmarkStart w:id="21" w:name="_Toc225517969"/>
      <w:bookmarkStart w:id="22" w:name="OLE_LINK60"/>
      <w:r w:rsidRPr="007F08B7">
        <w:rPr>
          <w:rStyle w:val="10"/>
          <w:rFonts w:ascii="Times New Roman" w:hAnsi="Times New Roman" w:cs="Times New Roman"/>
          <w:b/>
          <w:bCs/>
          <w:color w:val="auto"/>
          <w:sz w:val="21"/>
          <w:szCs w:val="21"/>
        </w:rPr>
        <w:lastRenderedPageBreak/>
        <w:t>Table S</w:t>
      </w:r>
      <w:r>
        <w:rPr>
          <w:rStyle w:val="10"/>
          <w:rFonts w:ascii="Times New Roman" w:hAnsi="Times New Roman" w:cs="Times New Roman" w:hint="eastAsia"/>
          <w:b/>
          <w:bCs/>
          <w:color w:val="auto"/>
          <w:sz w:val="21"/>
          <w:szCs w:val="21"/>
        </w:rPr>
        <w:t>3</w:t>
      </w:r>
      <w:bookmarkEnd w:id="21"/>
      <w:r w:rsidRP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 xml:space="preserve"> Determination of Cd </w:t>
      </w:r>
      <w:r w:rsidR="00446F48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>c</w:t>
      </w:r>
      <w:r w:rsidRP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 xml:space="preserve">ontent in </w:t>
      </w:r>
      <w:r w:rsidR="00446F48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>i</w:t>
      </w:r>
      <w:r w:rsidRP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 xml:space="preserve">rrigation </w:t>
      </w:r>
      <w:r w:rsidR="00446F48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>w</w:t>
      </w:r>
      <w:r w:rsidRP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>ater of the field test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</w:tblGrid>
      <w:tr w:rsidR="00C14DCC" w14:paraId="4336FE1B" w14:textId="77777777">
        <w:trPr>
          <w:trHeight w:val="900"/>
        </w:trPr>
        <w:tc>
          <w:tcPr>
            <w:tcW w:w="45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bookmarkEnd w:id="22"/>
          <w:p w14:paraId="2D16230C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Sampling Date of Irrigation Water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4B3F9A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Cd content</w:t>
            </w:r>
          </w:p>
          <w:p w14:paraId="72D3D248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μ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g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/L</w:t>
            </w:r>
          </w:p>
        </w:tc>
      </w:tr>
      <w:tr w:rsidR="00C14DCC" w14:paraId="4F0048F5" w14:textId="77777777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BF25A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June 20th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145B5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0.235</w:t>
            </w:r>
          </w:p>
        </w:tc>
      </w:tr>
      <w:tr w:rsidR="00C14DCC" w14:paraId="26445D2C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B59F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June 21th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6DB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0.058</w:t>
            </w:r>
          </w:p>
        </w:tc>
      </w:tr>
      <w:tr w:rsidR="00C14DCC" w14:paraId="6BC777FE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71F1A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4th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F22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0.135</w:t>
            </w:r>
          </w:p>
        </w:tc>
      </w:tr>
      <w:tr w:rsidR="00C14DCC" w14:paraId="1BD36AB5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34EB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6th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EF395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0.133</w:t>
            </w:r>
          </w:p>
        </w:tc>
      </w:tr>
      <w:tr w:rsidR="00C14DCC" w14:paraId="594158AA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517C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8th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D09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-0.034</w:t>
            </w:r>
          </w:p>
        </w:tc>
      </w:tr>
      <w:tr w:rsidR="00C14DCC" w14:paraId="39401F4E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3539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12th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906B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0.298</w:t>
            </w:r>
          </w:p>
        </w:tc>
      </w:tr>
      <w:tr w:rsidR="00C14DCC" w14:paraId="19D944CA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C34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18th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9A1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0.574</w:t>
            </w:r>
          </w:p>
        </w:tc>
      </w:tr>
      <w:tr w:rsidR="00C14DCC" w14:paraId="4F2D509B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0CA75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29th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3BE03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1.15</w:t>
            </w:r>
          </w:p>
        </w:tc>
      </w:tr>
      <w:tr w:rsidR="00C14DCC" w14:paraId="66C613F6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2A25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30th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8D2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0.457</w:t>
            </w:r>
          </w:p>
        </w:tc>
      </w:tr>
      <w:tr w:rsidR="00C14DCC" w14:paraId="10C43CB4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8B090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August 1st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693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0.83</w:t>
            </w:r>
          </w:p>
        </w:tc>
      </w:tr>
      <w:tr w:rsidR="00C14DCC" w14:paraId="062633EF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7C76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August 5th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A81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3.039</w:t>
            </w:r>
          </w:p>
        </w:tc>
      </w:tr>
      <w:tr w:rsidR="00C14DCC" w14:paraId="54046E0A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311AC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August 10th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AFA7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1.603</w:t>
            </w:r>
          </w:p>
        </w:tc>
      </w:tr>
      <w:tr w:rsidR="00C14DCC" w14:paraId="0E552AC6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E545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September 8th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67E39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1.183</w:t>
            </w:r>
          </w:p>
        </w:tc>
      </w:tr>
      <w:tr w:rsidR="00C14DCC" w14:paraId="525D60F1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6AE2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September 14th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8E7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1.132</w:t>
            </w:r>
          </w:p>
        </w:tc>
      </w:tr>
      <w:tr w:rsidR="00C14DCC" w14:paraId="60B03061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E51A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September 20th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F15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0.996</w:t>
            </w:r>
          </w:p>
        </w:tc>
      </w:tr>
      <w:tr w:rsidR="00C14DCC" w14:paraId="138EA077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CE5A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September 23th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57D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0.775</w:t>
            </w:r>
          </w:p>
        </w:tc>
      </w:tr>
      <w:tr w:rsidR="00C14DCC" w14:paraId="2956DF52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AD46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September 25th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518A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0.658</w:t>
            </w:r>
          </w:p>
        </w:tc>
      </w:tr>
      <w:tr w:rsidR="00C14DCC" w14:paraId="705701DC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20B8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2nd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2EFA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0.462</w:t>
            </w:r>
          </w:p>
        </w:tc>
      </w:tr>
      <w:tr w:rsidR="00C14DCC" w14:paraId="1B5117AB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5B5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4th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13B6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0.455</w:t>
            </w:r>
          </w:p>
        </w:tc>
      </w:tr>
      <w:tr w:rsidR="00C14DCC" w14:paraId="20277763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B9F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6th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E199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0.289</w:t>
            </w:r>
          </w:p>
        </w:tc>
      </w:tr>
      <w:tr w:rsidR="00C14DCC" w14:paraId="4D8CAE6D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BCB69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11th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48B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0.034</w:t>
            </w:r>
          </w:p>
        </w:tc>
      </w:tr>
      <w:tr w:rsidR="00C14DCC" w14:paraId="1F481BEB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C7CAB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20th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634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0.16</w:t>
            </w:r>
          </w:p>
        </w:tc>
      </w:tr>
      <w:tr w:rsidR="00C14DCC" w14:paraId="064922B1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D5A6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23th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7FB87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0.136</w:t>
            </w:r>
          </w:p>
        </w:tc>
      </w:tr>
      <w:tr w:rsidR="00C14DCC" w14:paraId="08DB5531" w14:textId="77777777">
        <w:trPr>
          <w:trHeight w:hRule="exact" w:val="454"/>
        </w:trPr>
        <w:tc>
          <w:tcPr>
            <w:tcW w:w="4531" w:type="dxa"/>
            <w:tcBorders>
              <w:top w:val="nil"/>
              <w:left w:val="nil"/>
              <w:right w:val="nil"/>
            </w:tcBorders>
            <w:vAlign w:val="center"/>
          </w:tcPr>
          <w:p w14:paraId="3EC4A011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31th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14:paraId="183D75C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0.278</w:t>
            </w:r>
          </w:p>
        </w:tc>
      </w:tr>
    </w:tbl>
    <w:p w14:paraId="615FF7BD" w14:textId="77777777" w:rsidR="00C14DCC" w:rsidRDefault="00000000">
      <w:pPr>
        <w:spacing w:beforeLines="50" w:before="156" w:afterLines="50" w:after="156"/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  <w:bookmarkStart w:id="23" w:name="OLE_LINK2"/>
      <w:r>
        <w:rPr>
          <w:rFonts w:ascii="Times New Roman" w:hAnsi="Times New Roman" w:cs="Times New Roman" w:hint="eastAsia"/>
          <w:color w:val="000000"/>
          <w:szCs w:val="21"/>
          <w:lang w:bidi="ar"/>
        </w:rPr>
        <w:t xml:space="preserve">The maximum permissible concentration of Cd in irrigation water for Chinese paddy fields is 10 </w:t>
      </w:r>
      <w:proofErr w:type="spellStart"/>
      <w:r>
        <w:rPr>
          <w:rFonts w:ascii="Times New Roman" w:hAnsi="Times New Roman" w:cs="Times New Roman"/>
          <w:color w:val="000000"/>
          <w:szCs w:val="21"/>
          <w:lang w:bidi="ar"/>
        </w:rPr>
        <w:t>μ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>g</w:t>
      </w:r>
      <w:proofErr w:type="spellEnd"/>
      <w:r>
        <w:rPr>
          <w:rFonts w:ascii="Times New Roman" w:hAnsi="Times New Roman" w:cs="Times New Roman" w:hint="eastAsia"/>
          <w:color w:val="000000"/>
          <w:szCs w:val="21"/>
          <w:lang w:bidi="ar"/>
        </w:rPr>
        <w:t>/L, as stipulated in the "Standards for Irrigation Water Quality in Agriculture" GB 5084-2021.</w:t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ab/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ab/>
      </w:r>
      <w:bookmarkEnd w:id="23"/>
      <w:r>
        <w:rPr>
          <w:rFonts w:ascii="Times New Roman" w:hAnsi="Times New Roman" w:cs="Times New Roman" w:hint="eastAsia"/>
          <w:color w:val="000000"/>
          <w:szCs w:val="21"/>
          <w:lang w:bidi="ar"/>
        </w:rPr>
        <w:tab/>
      </w:r>
      <w:r>
        <w:rPr>
          <w:rFonts w:ascii="Times New Roman" w:hAnsi="Times New Roman" w:cs="Times New Roman" w:hint="eastAsia"/>
          <w:color w:val="000000"/>
          <w:szCs w:val="21"/>
          <w:lang w:bidi="ar"/>
        </w:rPr>
        <w:tab/>
      </w:r>
    </w:p>
    <w:p w14:paraId="39AFFDAE" w14:textId="77777777" w:rsidR="00C14DCC" w:rsidRDefault="00C14DCC">
      <w:pPr>
        <w:rPr>
          <w:rFonts w:hint="eastAsia"/>
        </w:rPr>
      </w:pPr>
    </w:p>
    <w:p w14:paraId="2FA3C4E5" w14:textId="3BD48EF5" w:rsidR="00C14DCC" w:rsidRDefault="00F66F17">
      <w:pPr>
        <w:spacing w:beforeLines="50" w:before="156" w:afterLines="50" w:after="156" w:line="220" w:lineRule="atLeast"/>
        <w:jc w:val="center"/>
        <w:rPr>
          <w:rFonts w:ascii="Times New Roman" w:hAnsi="Times New Roman" w:cs="Times New Roman"/>
          <w:color w:val="000000"/>
          <w:szCs w:val="21"/>
          <w:lang w:bidi="ar"/>
        </w:rPr>
      </w:pPr>
      <w:bookmarkStart w:id="24" w:name="_Toc225517970"/>
      <w:r w:rsidRPr="007F08B7">
        <w:rPr>
          <w:rStyle w:val="10"/>
          <w:rFonts w:ascii="Times New Roman" w:hAnsi="Times New Roman" w:cs="Times New Roman"/>
          <w:b/>
          <w:bCs/>
          <w:color w:val="auto"/>
          <w:sz w:val="21"/>
          <w:szCs w:val="21"/>
        </w:rPr>
        <w:lastRenderedPageBreak/>
        <w:t>Table S</w:t>
      </w:r>
      <w:r>
        <w:rPr>
          <w:rStyle w:val="10"/>
          <w:rFonts w:ascii="Times New Roman" w:hAnsi="Times New Roman" w:cs="Times New Roman" w:hint="eastAsia"/>
          <w:b/>
          <w:bCs/>
          <w:color w:val="auto"/>
          <w:sz w:val="21"/>
          <w:szCs w:val="21"/>
        </w:rPr>
        <w:t>4</w:t>
      </w:r>
      <w:bookmarkEnd w:id="24"/>
      <w:r w:rsidRPr="0066212E">
        <w:rPr>
          <w:rFonts w:ascii="Times New Roman" w:hAnsi="Times New Roman" w:cs="Times New Roman" w:hint="eastAsia"/>
          <w:b/>
          <w:bCs/>
          <w:color w:val="000000"/>
          <w:szCs w:val="21"/>
          <w:lang w:bidi="ar"/>
        </w:rPr>
        <w:t xml:space="preserve"> Determination of Cd Content in dry and wet atmospheric deposition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701"/>
        <w:gridCol w:w="2268"/>
      </w:tblGrid>
      <w:tr w:rsidR="00C14DCC" w14:paraId="4E92F28D" w14:textId="77777777">
        <w:trPr>
          <w:trHeight w:val="2025"/>
        </w:trPr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38C54003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Sampling date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center"/>
          </w:tcPr>
          <w:p w14:paraId="02357D20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Cd </w:t>
            </w:r>
          </w:p>
          <w:p w14:paraId="590DD36B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μ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g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/L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274A2D1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The volume of </w:t>
            </w:r>
          </w:p>
          <w:p w14:paraId="4F96E878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the sampler</w:t>
            </w:r>
          </w:p>
          <w:p w14:paraId="6B611471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65A2386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The cumulative amount of Cd </w:t>
            </w:r>
          </w:p>
          <w:p w14:paraId="4B117185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  <w:t>μ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g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73CCABD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 xml:space="preserve">The cumulative amount of Cd of dry and wet atmospheric deposition </w:t>
            </w:r>
          </w:p>
          <w:p w14:paraId="723AA32D" w14:textId="77777777" w:rsidR="00C14DCC" w:rsidRDefault="00000000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lang w:bidi="ar"/>
              </w:rPr>
              <w:t>mg/ha</w:t>
            </w:r>
          </w:p>
        </w:tc>
      </w:tr>
      <w:tr w:rsidR="00C14DCC" w14:paraId="41B17026" w14:textId="77777777">
        <w:trPr>
          <w:trHeight w:hRule="exact" w:val="454"/>
        </w:trPr>
        <w:tc>
          <w:tcPr>
            <w:tcW w:w="1555" w:type="dxa"/>
            <w:tcBorders>
              <w:left w:val="nil"/>
              <w:bottom w:val="nil"/>
              <w:right w:val="nil"/>
            </w:tcBorders>
            <w:vAlign w:val="center"/>
          </w:tcPr>
          <w:p w14:paraId="766FF92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June 20th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0B5C5D3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0.00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18731149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18.37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16AEB00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0.01 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4DC60B6F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1.07 </w:t>
            </w:r>
          </w:p>
        </w:tc>
      </w:tr>
      <w:tr w:rsidR="00C14DCC" w14:paraId="1221D8A5" w14:textId="77777777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3EF1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July 2nd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74EC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659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30.73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C16BF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0.92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167A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130.51 </w:t>
            </w:r>
          </w:p>
        </w:tc>
      </w:tr>
      <w:tr w:rsidR="00C14DCC" w14:paraId="15CD5B3C" w14:textId="77777777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F22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August 1st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6B58E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FFE4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2.12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B912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0.11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CACC9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15.00 </w:t>
            </w:r>
          </w:p>
        </w:tc>
      </w:tr>
      <w:tr w:rsidR="00C14DCC" w14:paraId="12DA7958" w14:textId="77777777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1D9D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August 13th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4300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3E8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6.71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5991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0.23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FCAFA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33.25 </w:t>
            </w:r>
          </w:p>
        </w:tc>
      </w:tr>
      <w:tr w:rsidR="00C14DCC" w14:paraId="5804DADF" w14:textId="77777777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D200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August 20th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4136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8E1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9.18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F90D2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3B648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0.34 </w:t>
            </w:r>
          </w:p>
        </w:tc>
      </w:tr>
      <w:tr w:rsidR="00C14DCC" w14:paraId="3E4D5D6E" w14:textId="77777777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D7A5F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September 24th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74CA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940E6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2.83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B976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0.12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9704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17.60 </w:t>
            </w:r>
          </w:p>
        </w:tc>
      </w:tr>
      <w:tr w:rsidR="00C14DCC" w14:paraId="20533CC6" w14:textId="77777777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right w:val="nil"/>
            </w:tcBorders>
            <w:vAlign w:val="center"/>
          </w:tcPr>
          <w:p w14:paraId="39060ACB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>October 30th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7D8F2AD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0.10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8E2A407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4.24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9BB5777" w14:textId="77777777" w:rsidR="00C14DCC" w:rsidRDefault="00000000">
            <w:pPr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0.41 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174F8A" w14:textId="77777777" w:rsidR="00C14DCC" w:rsidRDefault="00000000">
            <w:pPr>
              <w:keepNext/>
              <w:spacing w:line="22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  <w:lang w:bidi="ar"/>
              </w:rPr>
              <w:t xml:space="preserve">57.60 </w:t>
            </w:r>
          </w:p>
        </w:tc>
      </w:tr>
    </w:tbl>
    <w:p w14:paraId="344F3107" w14:textId="77777777" w:rsidR="00C14DCC" w:rsidRDefault="00C14DCC">
      <w:pPr>
        <w:rPr>
          <w:rFonts w:hint="eastAsia"/>
        </w:rPr>
      </w:pPr>
    </w:p>
    <w:sectPr w:rsidR="00C1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54CA" w14:textId="77777777" w:rsidR="00DA2CCA" w:rsidRDefault="00DA2CCA" w:rsidP="005E70C7">
      <w:pPr>
        <w:rPr>
          <w:rFonts w:hint="eastAsia"/>
        </w:rPr>
      </w:pPr>
      <w:r>
        <w:separator/>
      </w:r>
    </w:p>
  </w:endnote>
  <w:endnote w:type="continuationSeparator" w:id="0">
    <w:p w14:paraId="5B4F80D0" w14:textId="77777777" w:rsidR="00DA2CCA" w:rsidRDefault="00DA2CCA" w:rsidP="005E70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3BCE" w14:textId="77777777" w:rsidR="00DA2CCA" w:rsidRDefault="00DA2CCA" w:rsidP="005E70C7">
      <w:pPr>
        <w:rPr>
          <w:rFonts w:hint="eastAsia"/>
        </w:rPr>
      </w:pPr>
      <w:r>
        <w:separator/>
      </w:r>
    </w:p>
  </w:footnote>
  <w:footnote w:type="continuationSeparator" w:id="0">
    <w:p w14:paraId="69A0EBC6" w14:textId="77777777" w:rsidR="00DA2CCA" w:rsidRDefault="00DA2CCA" w:rsidP="005E70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lNzU2MzhiMGExYWNjYjcyYTYxMjliMjcxZjJhY2IifQ=="/>
  </w:docVars>
  <w:rsids>
    <w:rsidRoot w:val="00E87A1A"/>
    <w:rsid w:val="000D218D"/>
    <w:rsid w:val="000F6563"/>
    <w:rsid w:val="001014F6"/>
    <w:rsid w:val="00144DDF"/>
    <w:rsid w:val="00160BA6"/>
    <w:rsid w:val="001F004D"/>
    <w:rsid w:val="001F427B"/>
    <w:rsid w:val="001F5A7E"/>
    <w:rsid w:val="00325FE0"/>
    <w:rsid w:val="003871D7"/>
    <w:rsid w:val="004420D3"/>
    <w:rsid w:val="00446F48"/>
    <w:rsid w:val="004A29A7"/>
    <w:rsid w:val="004A439C"/>
    <w:rsid w:val="004F0BDB"/>
    <w:rsid w:val="005462DC"/>
    <w:rsid w:val="0057290A"/>
    <w:rsid w:val="005E70C7"/>
    <w:rsid w:val="0066212E"/>
    <w:rsid w:val="006D4A6C"/>
    <w:rsid w:val="007439D5"/>
    <w:rsid w:val="007D0BCB"/>
    <w:rsid w:val="007F08B7"/>
    <w:rsid w:val="008034EA"/>
    <w:rsid w:val="008600F6"/>
    <w:rsid w:val="00876E0B"/>
    <w:rsid w:val="008C50E3"/>
    <w:rsid w:val="008F2FF3"/>
    <w:rsid w:val="00916731"/>
    <w:rsid w:val="009876F9"/>
    <w:rsid w:val="009C247F"/>
    <w:rsid w:val="009F29FB"/>
    <w:rsid w:val="00A14315"/>
    <w:rsid w:val="00AE0E9F"/>
    <w:rsid w:val="00B21AA5"/>
    <w:rsid w:val="00B22846"/>
    <w:rsid w:val="00B84D78"/>
    <w:rsid w:val="00B8567A"/>
    <w:rsid w:val="00B969AA"/>
    <w:rsid w:val="00BA0F71"/>
    <w:rsid w:val="00BD0601"/>
    <w:rsid w:val="00BE3BA2"/>
    <w:rsid w:val="00BE572A"/>
    <w:rsid w:val="00C14DCC"/>
    <w:rsid w:val="00C510BF"/>
    <w:rsid w:val="00C718C8"/>
    <w:rsid w:val="00C80177"/>
    <w:rsid w:val="00D2736A"/>
    <w:rsid w:val="00D576FB"/>
    <w:rsid w:val="00D67785"/>
    <w:rsid w:val="00DA2CCA"/>
    <w:rsid w:val="00DB1FB3"/>
    <w:rsid w:val="00DC440D"/>
    <w:rsid w:val="00DD38B9"/>
    <w:rsid w:val="00DD4EB9"/>
    <w:rsid w:val="00E019F9"/>
    <w:rsid w:val="00E40A35"/>
    <w:rsid w:val="00E706E0"/>
    <w:rsid w:val="00E8197C"/>
    <w:rsid w:val="00E87A1A"/>
    <w:rsid w:val="00F440A5"/>
    <w:rsid w:val="00F66F17"/>
    <w:rsid w:val="00FA27EE"/>
    <w:rsid w:val="00FD125D"/>
    <w:rsid w:val="00FE1575"/>
    <w:rsid w:val="02310567"/>
    <w:rsid w:val="069D746D"/>
    <w:rsid w:val="0E3C1CFB"/>
    <w:rsid w:val="0F4149A2"/>
    <w:rsid w:val="10F96E9C"/>
    <w:rsid w:val="131E5E73"/>
    <w:rsid w:val="162639BD"/>
    <w:rsid w:val="1B8F3DB2"/>
    <w:rsid w:val="1E311151"/>
    <w:rsid w:val="21366DEA"/>
    <w:rsid w:val="25592D3B"/>
    <w:rsid w:val="27B64475"/>
    <w:rsid w:val="2BFC7CE3"/>
    <w:rsid w:val="2E402CEA"/>
    <w:rsid w:val="350D59D1"/>
    <w:rsid w:val="382200DC"/>
    <w:rsid w:val="3AAF1923"/>
    <w:rsid w:val="59FD5DAF"/>
    <w:rsid w:val="5DE916E6"/>
    <w:rsid w:val="60120712"/>
    <w:rsid w:val="62E53998"/>
    <w:rsid w:val="66157FDD"/>
    <w:rsid w:val="69247FDA"/>
    <w:rsid w:val="71B608C6"/>
    <w:rsid w:val="772B7B62"/>
    <w:rsid w:val="77B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56E98"/>
  <w15:docId w15:val="{2F8699F4-F189-4BF6-9B21-1AD1CA4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TOC1">
    <w:name w:val="toc 1"/>
    <w:basedOn w:val="a"/>
    <w:next w:val="a"/>
    <w:autoRedefine/>
    <w:uiPriority w:val="39"/>
    <w:unhideWhenUsed/>
    <w:rsid w:val="00BE572A"/>
    <w:pPr>
      <w:tabs>
        <w:tab w:val="right" w:leader="dot" w:pos="8296"/>
      </w:tabs>
      <w:spacing w:line="480" w:lineRule="auto"/>
      <w:jc w:val="center"/>
    </w:pPr>
  </w:style>
  <w:style w:type="character" w:styleId="af3">
    <w:name w:val="Hyperlink"/>
    <w:basedOn w:val="a0"/>
    <w:uiPriority w:val="99"/>
    <w:unhideWhenUsed/>
    <w:rsid w:val="00BE572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6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5ECF-651B-4A37-A1C6-A2C2FD08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1184</Words>
  <Characters>6610</Characters>
  <Application>Microsoft Office Word</Application>
  <DocSecurity>0</DocSecurity>
  <Lines>287</Lines>
  <Paragraphs>205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均 万</dc:creator>
  <cp:lastModifiedBy>雪斐 尹</cp:lastModifiedBy>
  <cp:revision>50</cp:revision>
  <dcterms:created xsi:type="dcterms:W3CDTF">2025-07-16T08:01:00Z</dcterms:created>
  <dcterms:modified xsi:type="dcterms:W3CDTF">2026-03-27T08:22:00Z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0F8814EAB9BF406DA17289811BCBAA8C</vt:lpwstr>
  </property>
  <property fmtid="{D5CDD505-2E9C-101B-9397-08002B2CF9AE}" pid="4" name="ZOTERO_PREF_1">
    <vt:lpwstr>&lt;data data-version="3" zotero-version="7.0.32"&gt;&lt;session id="7uDs8xZD"/&gt;&lt;style id="http://www.zotero.org/styles/elsevier-harvard" hasBibliography="1" bibliographyStyleHasBeenSet="0"/&gt;&lt;prefs&gt;&lt;pref name="fieldType" value="Field"/&gt;&lt;/prefs&gt;&lt;/data&gt;</vt:lpwstr>
  </property>
</Properties>
</file>