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1417"/>
        <w:gridCol w:w="1134"/>
        <w:gridCol w:w="1276"/>
      </w:tblGrid>
      <w:tr w:rsidR="00E71C88" w:rsidRPr="00E71C88" w14:paraId="3A1B4F2A" w14:textId="77777777" w:rsidTr="00E71C88">
        <w:trPr>
          <w:tblHeader/>
          <w:tblCellSpacing w:w="15" w:type="dxa"/>
        </w:trPr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2C7940" w14:textId="77777777" w:rsidR="00E71C88" w:rsidRPr="00E71C88" w:rsidRDefault="00E71C88" w:rsidP="00E71C88">
            <w:pPr>
              <w:jc w:val="both"/>
              <w:rPr>
                <w:b/>
                <w:bCs/>
              </w:rPr>
            </w:pPr>
            <w:r w:rsidRPr="00E71C88">
              <w:rPr>
                <w:b/>
                <w:bCs/>
              </w:rPr>
              <w:t>Item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47B26" w14:textId="77777777" w:rsidR="00E71C88" w:rsidRPr="00E71C88" w:rsidRDefault="00E71C88" w:rsidP="00E71C88">
            <w:pPr>
              <w:jc w:val="both"/>
              <w:rPr>
                <w:b/>
                <w:bCs/>
              </w:rPr>
            </w:pPr>
            <w:r w:rsidRPr="00E71C88">
              <w:rPr>
                <w:b/>
                <w:bCs/>
              </w:rPr>
              <w:t>Relief rate (%)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650DB0" w14:textId="77777777" w:rsidR="00E71C88" w:rsidRPr="00E71C88" w:rsidRDefault="00E71C88" w:rsidP="00E71C88">
            <w:pPr>
              <w:jc w:val="both"/>
              <w:rPr>
                <w:b/>
                <w:bCs/>
              </w:rPr>
            </w:pPr>
            <w:r w:rsidRPr="00E71C88">
              <w:rPr>
                <w:b/>
                <w:bCs/>
              </w:rPr>
              <w:t>t statistic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CAEB36" w14:textId="77777777" w:rsidR="00E71C88" w:rsidRPr="00E71C88" w:rsidRDefault="00E71C88" w:rsidP="00E71C88">
            <w:pPr>
              <w:jc w:val="both"/>
              <w:rPr>
                <w:b/>
                <w:bCs/>
              </w:rPr>
            </w:pPr>
            <w:r w:rsidRPr="00E71C88">
              <w:rPr>
                <w:b/>
                <w:bCs/>
              </w:rPr>
              <w:t>P value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AE3B06" w14:textId="77777777" w:rsidR="00E71C88" w:rsidRPr="00E71C88" w:rsidRDefault="00E71C88" w:rsidP="00E71C88">
            <w:pPr>
              <w:jc w:val="both"/>
              <w:rPr>
                <w:b/>
                <w:bCs/>
              </w:rPr>
            </w:pPr>
            <w:r w:rsidRPr="00E71C88">
              <w:rPr>
                <w:b/>
                <w:bCs/>
              </w:rPr>
              <w:t>Cohen’s d</w:t>
            </w:r>
          </w:p>
        </w:tc>
      </w:tr>
      <w:tr w:rsidR="00E71C88" w:rsidRPr="00E71C88" w14:paraId="1BC57E36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4B8CD02" w14:textId="77777777" w:rsidR="00E71C88" w:rsidRPr="00E71C88" w:rsidRDefault="00E71C88" w:rsidP="00E71C88">
            <w:pPr>
              <w:jc w:val="both"/>
            </w:pPr>
            <w:r w:rsidRPr="00E71C88">
              <w:t>Heartburn</w:t>
            </w:r>
          </w:p>
        </w:tc>
        <w:tc>
          <w:tcPr>
            <w:tcW w:w="1529" w:type="dxa"/>
            <w:vAlign w:val="center"/>
            <w:hideMark/>
          </w:tcPr>
          <w:p w14:paraId="009D9BE6" w14:textId="77777777" w:rsidR="00E71C88" w:rsidRPr="00E71C88" w:rsidRDefault="00E71C88" w:rsidP="00E71C88">
            <w:pPr>
              <w:jc w:val="both"/>
            </w:pPr>
            <w:r w:rsidRPr="00E71C88">
              <w:t>89.4</w:t>
            </w:r>
          </w:p>
        </w:tc>
        <w:tc>
          <w:tcPr>
            <w:tcW w:w="1387" w:type="dxa"/>
            <w:vAlign w:val="center"/>
            <w:hideMark/>
          </w:tcPr>
          <w:p w14:paraId="397275AF" w14:textId="77777777" w:rsidR="00E71C88" w:rsidRPr="00E71C88" w:rsidRDefault="00E71C88" w:rsidP="00E71C88">
            <w:pPr>
              <w:jc w:val="both"/>
            </w:pPr>
            <w:r w:rsidRPr="00E71C88">
              <w:t>14.65</w:t>
            </w:r>
          </w:p>
        </w:tc>
        <w:tc>
          <w:tcPr>
            <w:tcW w:w="1104" w:type="dxa"/>
            <w:vAlign w:val="center"/>
            <w:hideMark/>
          </w:tcPr>
          <w:p w14:paraId="77199E14" w14:textId="77777777" w:rsidR="00E71C88" w:rsidRPr="00E71C88" w:rsidRDefault="00E71C88" w:rsidP="00E71C88">
            <w:pPr>
              <w:jc w:val="both"/>
            </w:pPr>
            <w:r w:rsidRPr="00E71C88">
              <w:t>&lt; 0.001</w:t>
            </w:r>
          </w:p>
        </w:tc>
        <w:tc>
          <w:tcPr>
            <w:tcW w:w="1231" w:type="dxa"/>
            <w:vAlign w:val="center"/>
            <w:hideMark/>
          </w:tcPr>
          <w:p w14:paraId="2CD252F6" w14:textId="77777777" w:rsidR="00E71C88" w:rsidRPr="00E71C88" w:rsidRDefault="00E71C88" w:rsidP="00E71C88">
            <w:pPr>
              <w:jc w:val="both"/>
            </w:pPr>
            <w:r w:rsidRPr="00E71C88">
              <w:t>1.48</w:t>
            </w:r>
          </w:p>
        </w:tc>
      </w:tr>
      <w:tr w:rsidR="00E71C88" w:rsidRPr="00E71C88" w14:paraId="3AD3ACC1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287A51A" w14:textId="77777777" w:rsidR="00E71C88" w:rsidRPr="00E71C88" w:rsidRDefault="00E71C88" w:rsidP="00E71C88">
            <w:pPr>
              <w:jc w:val="both"/>
            </w:pPr>
            <w:r w:rsidRPr="00E71C88">
              <w:t>Regurgitation</w:t>
            </w:r>
          </w:p>
        </w:tc>
        <w:tc>
          <w:tcPr>
            <w:tcW w:w="1529" w:type="dxa"/>
            <w:vAlign w:val="center"/>
            <w:hideMark/>
          </w:tcPr>
          <w:p w14:paraId="28D594DD" w14:textId="77777777" w:rsidR="00E71C88" w:rsidRPr="00E71C88" w:rsidRDefault="00E71C88" w:rsidP="00E71C88">
            <w:pPr>
              <w:jc w:val="both"/>
            </w:pPr>
            <w:r w:rsidRPr="00E71C88">
              <w:t>80.0</w:t>
            </w:r>
          </w:p>
        </w:tc>
        <w:tc>
          <w:tcPr>
            <w:tcW w:w="1387" w:type="dxa"/>
            <w:vAlign w:val="center"/>
            <w:hideMark/>
          </w:tcPr>
          <w:p w14:paraId="24BCA187" w14:textId="77777777" w:rsidR="00E71C88" w:rsidRPr="00E71C88" w:rsidRDefault="00E71C88" w:rsidP="00E71C88">
            <w:pPr>
              <w:jc w:val="both"/>
            </w:pPr>
            <w:r w:rsidRPr="00E71C88">
              <w:t>12.82</w:t>
            </w:r>
          </w:p>
        </w:tc>
        <w:tc>
          <w:tcPr>
            <w:tcW w:w="1104" w:type="dxa"/>
            <w:vAlign w:val="center"/>
            <w:hideMark/>
          </w:tcPr>
          <w:p w14:paraId="738D8E35" w14:textId="77777777" w:rsidR="00E71C88" w:rsidRPr="00E71C88" w:rsidRDefault="00E71C88" w:rsidP="00E71C88">
            <w:pPr>
              <w:jc w:val="both"/>
            </w:pPr>
            <w:r w:rsidRPr="00E71C88">
              <w:t>&lt; 0.001</w:t>
            </w:r>
          </w:p>
        </w:tc>
        <w:tc>
          <w:tcPr>
            <w:tcW w:w="1231" w:type="dxa"/>
            <w:vAlign w:val="center"/>
            <w:hideMark/>
          </w:tcPr>
          <w:p w14:paraId="1895831D" w14:textId="77777777" w:rsidR="00E71C88" w:rsidRPr="00E71C88" w:rsidRDefault="00E71C88" w:rsidP="00E71C88">
            <w:pPr>
              <w:jc w:val="both"/>
            </w:pPr>
            <w:r w:rsidRPr="00E71C88">
              <w:t>1.29</w:t>
            </w:r>
          </w:p>
        </w:tc>
      </w:tr>
      <w:tr w:rsidR="00E71C88" w:rsidRPr="00E71C88" w14:paraId="5098AB45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5972AF3" w14:textId="77777777" w:rsidR="00E71C88" w:rsidRPr="00E71C88" w:rsidRDefault="00E71C88" w:rsidP="00E71C88">
            <w:pPr>
              <w:jc w:val="both"/>
            </w:pPr>
            <w:r w:rsidRPr="00E71C88">
              <w:t>Epigastric pain</w:t>
            </w:r>
          </w:p>
        </w:tc>
        <w:tc>
          <w:tcPr>
            <w:tcW w:w="1529" w:type="dxa"/>
            <w:vAlign w:val="center"/>
            <w:hideMark/>
          </w:tcPr>
          <w:p w14:paraId="73578703" w14:textId="77777777" w:rsidR="00E71C88" w:rsidRPr="00E71C88" w:rsidRDefault="00E71C88" w:rsidP="00E71C88">
            <w:pPr>
              <w:jc w:val="both"/>
            </w:pPr>
            <w:r w:rsidRPr="00E71C88">
              <w:t>13.4</w:t>
            </w:r>
          </w:p>
        </w:tc>
        <w:tc>
          <w:tcPr>
            <w:tcW w:w="1387" w:type="dxa"/>
            <w:vAlign w:val="center"/>
            <w:hideMark/>
          </w:tcPr>
          <w:p w14:paraId="7FE37D04" w14:textId="77777777" w:rsidR="00E71C88" w:rsidRPr="00E71C88" w:rsidRDefault="00E71C88" w:rsidP="00E71C88">
            <w:pPr>
              <w:jc w:val="both"/>
            </w:pPr>
            <w:r w:rsidRPr="00E71C88">
              <w:t>-0.50</w:t>
            </w:r>
          </w:p>
        </w:tc>
        <w:tc>
          <w:tcPr>
            <w:tcW w:w="1104" w:type="dxa"/>
            <w:vAlign w:val="center"/>
            <w:hideMark/>
          </w:tcPr>
          <w:p w14:paraId="553FF744" w14:textId="77777777" w:rsidR="00E71C88" w:rsidRPr="00E71C88" w:rsidRDefault="00E71C88" w:rsidP="00E71C88">
            <w:pPr>
              <w:jc w:val="both"/>
            </w:pPr>
            <w:r w:rsidRPr="00E71C88">
              <w:t>0.618</w:t>
            </w:r>
          </w:p>
        </w:tc>
        <w:tc>
          <w:tcPr>
            <w:tcW w:w="1231" w:type="dxa"/>
            <w:vAlign w:val="center"/>
            <w:hideMark/>
          </w:tcPr>
          <w:p w14:paraId="11FDCC70" w14:textId="77777777" w:rsidR="00E71C88" w:rsidRPr="00E71C88" w:rsidRDefault="00E71C88" w:rsidP="00E71C88">
            <w:pPr>
              <w:jc w:val="both"/>
            </w:pPr>
            <w:r w:rsidRPr="00E71C88">
              <w:t>-0.05</w:t>
            </w:r>
          </w:p>
        </w:tc>
      </w:tr>
      <w:tr w:rsidR="00E71C88" w:rsidRPr="00E71C88" w14:paraId="141FD5C7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BEF53F4" w14:textId="77777777" w:rsidR="00E71C88" w:rsidRPr="00E71C88" w:rsidRDefault="00E71C88" w:rsidP="00E71C88">
            <w:pPr>
              <w:jc w:val="both"/>
            </w:pPr>
            <w:r w:rsidRPr="00E71C88">
              <w:t>Nausea</w:t>
            </w:r>
          </w:p>
        </w:tc>
        <w:tc>
          <w:tcPr>
            <w:tcW w:w="1529" w:type="dxa"/>
            <w:vAlign w:val="center"/>
            <w:hideMark/>
          </w:tcPr>
          <w:p w14:paraId="777481F7" w14:textId="77777777" w:rsidR="00E71C88" w:rsidRPr="00E71C88" w:rsidRDefault="00E71C88" w:rsidP="00E71C88">
            <w:pPr>
              <w:jc w:val="both"/>
            </w:pPr>
            <w:r w:rsidRPr="00E71C88">
              <w:t>8.3</w:t>
            </w:r>
          </w:p>
        </w:tc>
        <w:tc>
          <w:tcPr>
            <w:tcW w:w="1387" w:type="dxa"/>
            <w:vAlign w:val="center"/>
            <w:hideMark/>
          </w:tcPr>
          <w:p w14:paraId="4BAAE820" w14:textId="77777777" w:rsidR="00E71C88" w:rsidRPr="00E71C88" w:rsidRDefault="00E71C88" w:rsidP="00E71C88">
            <w:pPr>
              <w:jc w:val="both"/>
            </w:pPr>
            <w:r w:rsidRPr="00E71C88">
              <w:t>-0.88</w:t>
            </w:r>
          </w:p>
        </w:tc>
        <w:tc>
          <w:tcPr>
            <w:tcW w:w="1104" w:type="dxa"/>
            <w:vAlign w:val="center"/>
            <w:hideMark/>
          </w:tcPr>
          <w:p w14:paraId="7697F627" w14:textId="77777777" w:rsidR="00E71C88" w:rsidRPr="00E71C88" w:rsidRDefault="00E71C88" w:rsidP="00E71C88">
            <w:pPr>
              <w:jc w:val="both"/>
            </w:pPr>
            <w:r w:rsidRPr="00E71C88">
              <w:t>0.380</w:t>
            </w:r>
          </w:p>
        </w:tc>
        <w:tc>
          <w:tcPr>
            <w:tcW w:w="1231" w:type="dxa"/>
            <w:vAlign w:val="center"/>
            <w:hideMark/>
          </w:tcPr>
          <w:p w14:paraId="3ECB30E7" w14:textId="77777777" w:rsidR="00E71C88" w:rsidRPr="00E71C88" w:rsidRDefault="00E71C88" w:rsidP="00E71C88">
            <w:pPr>
              <w:jc w:val="both"/>
            </w:pPr>
            <w:r w:rsidRPr="00E71C88">
              <w:t>-0.09</w:t>
            </w:r>
          </w:p>
        </w:tc>
      </w:tr>
      <w:tr w:rsidR="00E71C88" w:rsidRPr="00E71C88" w14:paraId="2F069D6B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458EE30" w14:textId="77777777" w:rsidR="00E71C88" w:rsidRPr="00E71C88" w:rsidRDefault="00E71C88" w:rsidP="00E71C88">
            <w:pPr>
              <w:jc w:val="both"/>
            </w:pPr>
            <w:r w:rsidRPr="00E71C88">
              <w:t>Sleep disturbance due to reflux symptoms</w:t>
            </w:r>
          </w:p>
        </w:tc>
        <w:tc>
          <w:tcPr>
            <w:tcW w:w="1529" w:type="dxa"/>
            <w:vAlign w:val="center"/>
            <w:hideMark/>
          </w:tcPr>
          <w:p w14:paraId="02B67870" w14:textId="77777777" w:rsidR="00E71C88" w:rsidRPr="00E71C88" w:rsidRDefault="00E71C88" w:rsidP="00E71C88">
            <w:pPr>
              <w:jc w:val="both"/>
            </w:pPr>
            <w:r w:rsidRPr="00E71C88">
              <w:t>73.7</w:t>
            </w:r>
          </w:p>
        </w:tc>
        <w:tc>
          <w:tcPr>
            <w:tcW w:w="1387" w:type="dxa"/>
            <w:vAlign w:val="center"/>
            <w:hideMark/>
          </w:tcPr>
          <w:p w14:paraId="2D3721BA" w14:textId="77777777" w:rsidR="00E71C88" w:rsidRPr="00E71C88" w:rsidRDefault="00E71C88" w:rsidP="00E71C88">
            <w:pPr>
              <w:jc w:val="both"/>
            </w:pPr>
            <w:r w:rsidRPr="00E71C88">
              <w:t>11.03</w:t>
            </w:r>
          </w:p>
        </w:tc>
        <w:tc>
          <w:tcPr>
            <w:tcW w:w="1104" w:type="dxa"/>
            <w:vAlign w:val="center"/>
            <w:hideMark/>
          </w:tcPr>
          <w:p w14:paraId="3715A986" w14:textId="77777777" w:rsidR="00E71C88" w:rsidRPr="00E71C88" w:rsidRDefault="00E71C88" w:rsidP="00E71C88">
            <w:pPr>
              <w:jc w:val="both"/>
            </w:pPr>
            <w:r w:rsidRPr="00E71C88">
              <w:t>&lt; 0.001</w:t>
            </w:r>
          </w:p>
        </w:tc>
        <w:tc>
          <w:tcPr>
            <w:tcW w:w="1231" w:type="dxa"/>
            <w:vAlign w:val="center"/>
            <w:hideMark/>
          </w:tcPr>
          <w:p w14:paraId="55155910" w14:textId="77777777" w:rsidR="00E71C88" w:rsidRPr="00E71C88" w:rsidRDefault="00E71C88" w:rsidP="00E71C88">
            <w:pPr>
              <w:jc w:val="both"/>
            </w:pPr>
            <w:r w:rsidRPr="00E71C88">
              <w:t>1.11</w:t>
            </w:r>
          </w:p>
        </w:tc>
      </w:tr>
      <w:tr w:rsidR="00E71C88" w:rsidRPr="00E71C88" w14:paraId="2B7E0EA1" w14:textId="77777777" w:rsidTr="00E71C88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BD1ED36" w14:textId="1FCF8EA1" w:rsidR="00E71C88" w:rsidRPr="00E71C88" w:rsidRDefault="00E71C88" w:rsidP="00E71C88">
            <w:pPr>
              <w:jc w:val="both"/>
            </w:pPr>
            <w:r w:rsidRPr="00E71C88">
              <w:t>Use of additional over-the-counter medication</w:t>
            </w:r>
          </w:p>
        </w:tc>
        <w:tc>
          <w:tcPr>
            <w:tcW w:w="1529" w:type="dxa"/>
            <w:vAlign w:val="center"/>
            <w:hideMark/>
          </w:tcPr>
          <w:p w14:paraId="2F85F434" w14:textId="77777777" w:rsidR="00E71C88" w:rsidRPr="00E71C88" w:rsidRDefault="00E71C88" w:rsidP="00E71C88">
            <w:pPr>
              <w:jc w:val="both"/>
            </w:pPr>
            <w:r w:rsidRPr="00E71C88">
              <w:t>90.4</w:t>
            </w:r>
          </w:p>
        </w:tc>
        <w:tc>
          <w:tcPr>
            <w:tcW w:w="1387" w:type="dxa"/>
            <w:vAlign w:val="center"/>
            <w:hideMark/>
          </w:tcPr>
          <w:p w14:paraId="40F64296" w14:textId="77777777" w:rsidR="00E71C88" w:rsidRPr="00E71C88" w:rsidRDefault="00E71C88" w:rsidP="00E71C88">
            <w:pPr>
              <w:jc w:val="both"/>
            </w:pPr>
            <w:r w:rsidRPr="00E71C88">
              <w:t>13.14</w:t>
            </w:r>
          </w:p>
        </w:tc>
        <w:tc>
          <w:tcPr>
            <w:tcW w:w="1104" w:type="dxa"/>
            <w:vAlign w:val="center"/>
            <w:hideMark/>
          </w:tcPr>
          <w:p w14:paraId="42654A36" w14:textId="77777777" w:rsidR="00E71C88" w:rsidRPr="00E71C88" w:rsidRDefault="00E71C88" w:rsidP="00E71C88">
            <w:pPr>
              <w:jc w:val="both"/>
            </w:pPr>
            <w:r w:rsidRPr="00E71C88">
              <w:t>&lt; 0.001</w:t>
            </w:r>
          </w:p>
        </w:tc>
        <w:tc>
          <w:tcPr>
            <w:tcW w:w="1231" w:type="dxa"/>
            <w:vAlign w:val="center"/>
            <w:hideMark/>
          </w:tcPr>
          <w:p w14:paraId="42DCCBAA" w14:textId="77777777" w:rsidR="00E71C88" w:rsidRPr="00E71C88" w:rsidRDefault="00E71C88" w:rsidP="00E71C88">
            <w:pPr>
              <w:jc w:val="both"/>
            </w:pPr>
            <w:r w:rsidRPr="00E71C88">
              <w:t>1.33</w:t>
            </w:r>
          </w:p>
        </w:tc>
      </w:tr>
    </w:tbl>
    <w:p w14:paraId="1A8E56E5" w14:textId="77777777" w:rsidR="00690F93" w:rsidRPr="00690F93" w:rsidRDefault="00690F93" w:rsidP="00690F93">
      <w:pPr>
        <w:jc w:val="both"/>
        <w:rPr>
          <w:b/>
          <w:bCs/>
        </w:rPr>
      </w:pPr>
      <w:r w:rsidRPr="00690F93">
        <w:rPr>
          <w:b/>
          <w:bCs/>
        </w:rPr>
        <w:t>Table 3. Relief rates and difference analysis of individual Gerd-Q items between preoperative assessment and 3 months after surgery.</w:t>
      </w:r>
    </w:p>
    <w:p w14:paraId="61A858FE" w14:textId="77777777" w:rsidR="00690F93" w:rsidRPr="00690F93" w:rsidRDefault="00690F93" w:rsidP="00690F93">
      <w:pPr>
        <w:jc w:val="both"/>
      </w:pPr>
      <w:r w:rsidRPr="00690F93">
        <w:rPr>
          <w:b/>
          <w:bCs/>
        </w:rPr>
        <w:t xml:space="preserve">Note: </w:t>
      </w:r>
      <w:r w:rsidRPr="00690F93">
        <w:t>P values were derived from the paired-samples t-test (paired t-test), which was used to compare preoperative and postoperative item scores. Cohen's d was used to assess the magnitude of treatment effect. In general, |d| ≈ 0.2 indicates a small effect, |d| ≈ 0.5 a moderate effect, and |d| ≈ 0.8 a large effect. "Epigastric pain" and "Nausea" are reverse-coded items in the standard Gerd-Q scoring system; for these items, higher scores indicate lower symptom burden.</w:t>
      </w:r>
    </w:p>
    <w:p w14:paraId="1B0E5A19" w14:textId="56FBF261" w:rsidR="00E71C88" w:rsidRPr="00690F93" w:rsidRDefault="00E71C88" w:rsidP="00690F93"/>
    <w:sectPr w:rsidR="00E71C88" w:rsidRPr="00690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C41F" w14:textId="77777777" w:rsidR="00557096" w:rsidRDefault="00557096" w:rsidP="00E71C88">
      <w:pPr>
        <w:spacing w:after="0" w:line="240" w:lineRule="auto"/>
      </w:pPr>
      <w:r>
        <w:separator/>
      </w:r>
    </w:p>
  </w:endnote>
  <w:endnote w:type="continuationSeparator" w:id="0">
    <w:p w14:paraId="3302FF69" w14:textId="77777777" w:rsidR="00557096" w:rsidRDefault="00557096" w:rsidP="00E71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B2D00" w14:textId="77777777" w:rsidR="00557096" w:rsidRDefault="00557096" w:rsidP="00E71C88">
      <w:pPr>
        <w:spacing w:after="0" w:line="240" w:lineRule="auto"/>
      </w:pPr>
      <w:r>
        <w:separator/>
      </w:r>
    </w:p>
  </w:footnote>
  <w:footnote w:type="continuationSeparator" w:id="0">
    <w:p w14:paraId="1A6950C0" w14:textId="77777777" w:rsidR="00557096" w:rsidRDefault="00557096" w:rsidP="00E71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82"/>
    <w:rsid w:val="00137882"/>
    <w:rsid w:val="00401713"/>
    <w:rsid w:val="00557096"/>
    <w:rsid w:val="00690F93"/>
    <w:rsid w:val="00720C31"/>
    <w:rsid w:val="00A90093"/>
    <w:rsid w:val="00B61DB2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17872"/>
  <w15:chartTrackingRefBased/>
  <w15:docId w15:val="{0158F0D0-C88D-4F8D-A8A8-596FF130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88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88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88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88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7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7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7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78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7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7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7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7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78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8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7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7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7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7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7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7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7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7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1C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1C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1C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1C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3</cp:revision>
  <dcterms:created xsi:type="dcterms:W3CDTF">2026-03-21T08:19:00Z</dcterms:created>
  <dcterms:modified xsi:type="dcterms:W3CDTF">2026-03-27T02:38:00Z</dcterms:modified>
</cp:coreProperties>
</file>