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AF8D9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Supplementary material 3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</w:t>
      </w:r>
    </w:p>
    <w:p w14:paraId="35732C4D">
      <w:pPr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</w:rPr>
        <w:t>Cross Analysis of the Effectiveness of the Training Content in Supporting Teaching</w:t>
      </w:r>
    </w:p>
    <w:tbl>
      <w:tblPr>
        <w:tblStyle w:val="3"/>
        <w:tblpPr w:leftFromText="180" w:rightFromText="180" w:vertAnchor="text" w:horzAnchor="page" w:tblpX="1881" w:tblpY="31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1296"/>
        <w:gridCol w:w="1416"/>
        <w:gridCol w:w="1178"/>
        <w:gridCol w:w="1069"/>
        <w:gridCol w:w="1069"/>
        <w:gridCol w:w="838"/>
      </w:tblGrid>
      <w:tr w14:paraId="3FEA3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522" w:type="dxa"/>
            <w:gridSpan w:val="7"/>
          </w:tcPr>
          <w:p w14:paraId="15012284">
            <w:pPr>
              <w:tabs>
                <w:tab w:val="left" w:pos="2820"/>
              </w:tabs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The effectiveness of the training content in supporting teaching</w:t>
            </w:r>
          </w:p>
        </w:tc>
      </w:tr>
      <w:tr w14:paraId="07115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 w14:paraId="3BA4BEF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6" w:type="dxa"/>
          </w:tcPr>
          <w:p w14:paraId="5F7DF87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Extremely helpful</w:t>
            </w:r>
          </w:p>
        </w:tc>
        <w:tc>
          <w:tcPr>
            <w:tcW w:w="1416" w:type="dxa"/>
          </w:tcPr>
          <w:p w14:paraId="3404C34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Quite helpful</w:t>
            </w:r>
          </w:p>
        </w:tc>
        <w:tc>
          <w:tcPr>
            <w:tcW w:w="1178" w:type="dxa"/>
          </w:tcPr>
          <w:p w14:paraId="53BE185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Slightly helpful</w:t>
            </w:r>
          </w:p>
        </w:tc>
        <w:tc>
          <w:tcPr>
            <w:tcW w:w="1069" w:type="dxa"/>
          </w:tcPr>
          <w:p w14:paraId="34CB2CB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Barely helpful</w:t>
            </w:r>
          </w:p>
        </w:tc>
        <w:tc>
          <w:tcPr>
            <w:tcW w:w="1069" w:type="dxa"/>
          </w:tcPr>
          <w:p w14:paraId="4EE4B4E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Not helpful at all</w:t>
            </w:r>
          </w:p>
        </w:tc>
        <w:tc>
          <w:tcPr>
            <w:tcW w:w="838" w:type="dxa"/>
          </w:tcPr>
          <w:p w14:paraId="229C10D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Total</w:t>
            </w:r>
          </w:p>
        </w:tc>
      </w:tr>
      <w:tr w14:paraId="2E115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 w14:paraId="4D1DB92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The trainee's lack of enthusiasm for learning</w:t>
            </w:r>
          </w:p>
        </w:tc>
        <w:tc>
          <w:tcPr>
            <w:tcW w:w="1296" w:type="dxa"/>
          </w:tcPr>
          <w:p w14:paraId="03471F0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98 (65.77%)</w:t>
            </w:r>
          </w:p>
        </w:tc>
        <w:tc>
          <w:tcPr>
            <w:tcW w:w="1416" w:type="dxa"/>
          </w:tcPr>
          <w:p w14:paraId="195831F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48 (32.21%)</w:t>
            </w:r>
          </w:p>
        </w:tc>
        <w:tc>
          <w:tcPr>
            <w:tcW w:w="1178" w:type="dxa"/>
          </w:tcPr>
          <w:p w14:paraId="490888A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3 (2.01%)</w:t>
            </w:r>
          </w:p>
        </w:tc>
        <w:tc>
          <w:tcPr>
            <w:tcW w:w="1069" w:type="dxa"/>
          </w:tcPr>
          <w:p w14:paraId="615EBEA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0 (0.00%)</w:t>
            </w:r>
          </w:p>
        </w:tc>
        <w:tc>
          <w:tcPr>
            <w:tcW w:w="1069" w:type="dxa"/>
          </w:tcPr>
          <w:p w14:paraId="0F452DA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0 (0.00%)</w:t>
            </w:r>
          </w:p>
        </w:tc>
        <w:tc>
          <w:tcPr>
            <w:tcW w:w="838" w:type="dxa"/>
          </w:tcPr>
          <w:p w14:paraId="65F726A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149</w:t>
            </w:r>
          </w:p>
        </w:tc>
      </w:tr>
      <w:tr w14:paraId="1AA21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 w14:paraId="72520CB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The teaching content is disconnected from clinical practice</w:t>
            </w:r>
          </w:p>
        </w:tc>
        <w:tc>
          <w:tcPr>
            <w:tcW w:w="1296" w:type="dxa"/>
          </w:tcPr>
          <w:p w14:paraId="31B8045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67 (63.81%)</w:t>
            </w:r>
          </w:p>
        </w:tc>
        <w:tc>
          <w:tcPr>
            <w:tcW w:w="1416" w:type="dxa"/>
          </w:tcPr>
          <w:p w14:paraId="24264B6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37(35.24%)</w:t>
            </w:r>
          </w:p>
        </w:tc>
        <w:tc>
          <w:tcPr>
            <w:tcW w:w="1178" w:type="dxa"/>
          </w:tcPr>
          <w:p w14:paraId="58E3918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1(0.95%)</w:t>
            </w:r>
          </w:p>
        </w:tc>
        <w:tc>
          <w:tcPr>
            <w:tcW w:w="1069" w:type="dxa"/>
          </w:tcPr>
          <w:p w14:paraId="4D3ABC4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0 (0.00%)</w:t>
            </w:r>
          </w:p>
        </w:tc>
        <w:tc>
          <w:tcPr>
            <w:tcW w:w="1069" w:type="dxa"/>
          </w:tcPr>
          <w:p w14:paraId="70556F2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0 (0.00%)</w:t>
            </w:r>
          </w:p>
        </w:tc>
        <w:tc>
          <w:tcPr>
            <w:tcW w:w="838" w:type="dxa"/>
          </w:tcPr>
          <w:p w14:paraId="6E2F779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105</w:t>
            </w:r>
          </w:p>
        </w:tc>
      </w:tr>
      <w:tr w14:paraId="184C8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 w14:paraId="663A052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Conflict between teaching time and clinical work</w:t>
            </w:r>
          </w:p>
        </w:tc>
        <w:tc>
          <w:tcPr>
            <w:tcW w:w="1296" w:type="dxa"/>
          </w:tcPr>
          <w:p w14:paraId="2F8010D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80 (64%)</w:t>
            </w:r>
          </w:p>
        </w:tc>
        <w:tc>
          <w:tcPr>
            <w:tcW w:w="1416" w:type="dxa"/>
          </w:tcPr>
          <w:p w14:paraId="3DE1C04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41(32.8%)</w:t>
            </w:r>
          </w:p>
        </w:tc>
        <w:tc>
          <w:tcPr>
            <w:tcW w:w="1178" w:type="dxa"/>
          </w:tcPr>
          <w:p w14:paraId="37B1C49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4(3.2%)</w:t>
            </w:r>
          </w:p>
        </w:tc>
        <w:tc>
          <w:tcPr>
            <w:tcW w:w="1069" w:type="dxa"/>
          </w:tcPr>
          <w:p w14:paraId="795861E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0 (0.00%)</w:t>
            </w:r>
          </w:p>
        </w:tc>
        <w:tc>
          <w:tcPr>
            <w:tcW w:w="1069" w:type="dxa"/>
          </w:tcPr>
          <w:p w14:paraId="25CDC4A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0 (0.00%)</w:t>
            </w:r>
          </w:p>
        </w:tc>
        <w:tc>
          <w:tcPr>
            <w:tcW w:w="838" w:type="dxa"/>
          </w:tcPr>
          <w:p w14:paraId="39C5492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125</w:t>
            </w:r>
          </w:p>
        </w:tc>
      </w:tr>
      <w:tr w14:paraId="4FAE4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 w14:paraId="648D046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The trainees in the residency program exhibit significant individual differences, making it challenging to balance their studies.</w:t>
            </w:r>
          </w:p>
        </w:tc>
        <w:tc>
          <w:tcPr>
            <w:tcW w:w="1296" w:type="dxa"/>
          </w:tcPr>
          <w:p w14:paraId="608E245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81 (67.5%)</w:t>
            </w:r>
          </w:p>
        </w:tc>
        <w:tc>
          <w:tcPr>
            <w:tcW w:w="1416" w:type="dxa"/>
          </w:tcPr>
          <w:p w14:paraId="38F5D3A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35(29.17%)</w:t>
            </w:r>
          </w:p>
        </w:tc>
        <w:tc>
          <w:tcPr>
            <w:tcW w:w="1178" w:type="dxa"/>
          </w:tcPr>
          <w:p w14:paraId="7B74996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4(3.33%)</w:t>
            </w:r>
          </w:p>
        </w:tc>
        <w:tc>
          <w:tcPr>
            <w:tcW w:w="1069" w:type="dxa"/>
          </w:tcPr>
          <w:p w14:paraId="02A45AF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0 (0.00%)</w:t>
            </w:r>
          </w:p>
        </w:tc>
        <w:tc>
          <w:tcPr>
            <w:tcW w:w="1069" w:type="dxa"/>
          </w:tcPr>
          <w:p w14:paraId="79BC79C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0 (0.00%)</w:t>
            </w:r>
          </w:p>
        </w:tc>
        <w:tc>
          <w:tcPr>
            <w:tcW w:w="838" w:type="dxa"/>
          </w:tcPr>
          <w:p w14:paraId="4AABC67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120</w:t>
            </w:r>
          </w:p>
        </w:tc>
      </w:tr>
      <w:tr w14:paraId="05483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 w14:paraId="25C632B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The teaching evaluation system is incomplete and unable to accurately measure learning outcomes</w:t>
            </w:r>
          </w:p>
        </w:tc>
        <w:tc>
          <w:tcPr>
            <w:tcW w:w="1296" w:type="dxa"/>
          </w:tcPr>
          <w:p w14:paraId="4036846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52 (66.67%)</w:t>
            </w:r>
          </w:p>
        </w:tc>
        <w:tc>
          <w:tcPr>
            <w:tcW w:w="1416" w:type="dxa"/>
          </w:tcPr>
          <w:p w14:paraId="268BC5A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23(29.49%)</w:t>
            </w:r>
          </w:p>
        </w:tc>
        <w:tc>
          <w:tcPr>
            <w:tcW w:w="1178" w:type="dxa"/>
          </w:tcPr>
          <w:p w14:paraId="0988D70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3(3.85%)</w:t>
            </w:r>
          </w:p>
        </w:tc>
        <w:tc>
          <w:tcPr>
            <w:tcW w:w="1069" w:type="dxa"/>
          </w:tcPr>
          <w:p w14:paraId="0936D9E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0 (0.00%)</w:t>
            </w:r>
          </w:p>
        </w:tc>
        <w:tc>
          <w:tcPr>
            <w:tcW w:w="1069" w:type="dxa"/>
          </w:tcPr>
          <w:p w14:paraId="318A38A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0 (0.00%)</w:t>
            </w:r>
          </w:p>
        </w:tc>
        <w:tc>
          <w:tcPr>
            <w:tcW w:w="838" w:type="dxa"/>
          </w:tcPr>
          <w:p w14:paraId="6457F14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78</w:t>
            </w:r>
          </w:p>
        </w:tc>
      </w:tr>
      <w:tr w14:paraId="1BA56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 w14:paraId="679812F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Lack of high-quality teaching resources</w:t>
            </w:r>
          </w:p>
        </w:tc>
        <w:tc>
          <w:tcPr>
            <w:tcW w:w="1296" w:type="dxa"/>
          </w:tcPr>
          <w:p w14:paraId="115AD99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38 (58.46%)</w:t>
            </w:r>
          </w:p>
        </w:tc>
        <w:tc>
          <w:tcPr>
            <w:tcW w:w="1416" w:type="dxa"/>
          </w:tcPr>
          <w:p w14:paraId="50A2802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22(33.85%)</w:t>
            </w:r>
          </w:p>
        </w:tc>
        <w:tc>
          <w:tcPr>
            <w:tcW w:w="1178" w:type="dxa"/>
          </w:tcPr>
          <w:p w14:paraId="1E28451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5(7.69%)</w:t>
            </w:r>
          </w:p>
        </w:tc>
        <w:tc>
          <w:tcPr>
            <w:tcW w:w="1069" w:type="dxa"/>
          </w:tcPr>
          <w:p w14:paraId="78B7FEC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0 (0.00%)</w:t>
            </w:r>
          </w:p>
        </w:tc>
        <w:tc>
          <w:tcPr>
            <w:tcW w:w="1069" w:type="dxa"/>
          </w:tcPr>
          <w:p w14:paraId="32F0032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0 (0.00%)</w:t>
            </w:r>
          </w:p>
        </w:tc>
        <w:tc>
          <w:tcPr>
            <w:tcW w:w="838" w:type="dxa"/>
          </w:tcPr>
          <w:p w14:paraId="24A1ABE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65</w:t>
            </w:r>
          </w:p>
        </w:tc>
      </w:tr>
      <w:tr w14:paraId="2C56A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shd w:val="clear" w:color="auto" w:fill="auto"/>
          </w:tcPr>
          <w:p w14:paraId="789188C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Others</w:t>
            </w:r>
          </w:p>
        </w:tc>
        <w:tc>
          <w:tcPr>
            <w:tcW w:w="1296" w:type="dxa"/>
            <w:shd w:val="clear" w:color="auto" w:fill="auto"/>
          </w:tcPr>
          <w:p w14:paraId="797644A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0 (0.00%)</w:t>
            </w:r>
          </w:p>
        </w:tc>
        <w:tc>
          <w:tcPr>
            <w:tcW w:w="1416" w:type="dxa"/>
            <w:shd w:val="clear" w:color="auto" w:fill="auto"/>
          </w:tcPr>
          <w:p w14:paraId="5717AED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0 (0.00%)</w:t>
            </w:r>
          </w:p>
        </w:tc>
        <w:tc>
          <w:tcPr>
            <w:tcW w:w="1178" w:type="dxa"/>
            <w:shd w:val="clear" w:color="auto" w:fill="auto"/>
          </w:tcPr>
          <w:p w14:paraId="69F93D8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0 (0.00%)</w:t>
            </w:r>
          </w:p>
        </w:tc>
        <w:tc>
          <w:tcPr>
            <w:tcW w:w="1069" w:type="dxa"/>
            <w:shd w:val="clear" w:color="auto" w:fill="auto"/>
          </w:tcPr>
          <w:p w14:paraId="3A80CFE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0 (0.00%)</w:t>
            </w:r>
          </w:p>
        </w:tc>
        <w:tc>
          <w:tcPr>
            <w:tcW w:w="1069" w:type="dxa"/>
            <w:shd w:val="clear" w:color="auto" w:fill="auto"/>
          </w:tcPr>
          <w:p w14:paraId="1E80ACB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0 (0.00%)</w:t>
            </w:r>
          </w:p>
        </w:tc>
        <w:tc>
          <w:tcPr>
            <w:tcW w:w="838" w:type="dxa"/>
            <w:shd w:val="clear" w:color="auto" w:fill="auto"/>
          </w:tcPr>
          <w:p w14:paraId="5C99576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0</w:t>
            </w:r>
          </w:p>
        </w:tc>
      </w:tr>
    </w:tbl>
    <w:p w14:paraId="773054A7"/>
    <w:p w14:paraId="1D706A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A7B"/>
    <w:rsid w:val="00952A7B"/>
    <w:rsid w:val="153B7F95"/>
    <w:rsid w:val="2CFC7EE5"/>
    <w:rsid w:val="5C0A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161</Words>
  <Characters>894</Characters>
  <Lines>0</Lines>
  <Paragraphs>0</Paragraphs>
  <TotalTime>0</TotalTime>
  <ScaleCrop>false</ScaleCrop>
  <LinksUpToDate>false</LinksUpToDate>
  <CharactersWithSpaces>1056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2026-01-29T08:48:00Z</dcterms:created>
  <dc:creator>Yuzuru</dc:creator>
  <cp:lastModifiedBy>Yuzuru</cp:lastModifiedBy>
  <dcterms:modified xsi:type="dcterms:W3CDTF">2026-02-24T08:28:26Z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29CF0B2AD4B241239E90EE6EDB12C284_11</vt:lpwstr>
  </property>
  <property fmtid="{D5CDD505-2E9C-101B-9397-08002B2CF9AE}" pid="4" name="KSOTemplateDocerSaveRecord">
    <vt:lpwstr>eyJoZGlkIjoiMzEwNTM5NzYwMDRjMzkwZTVkZjY2ODkwMGIxNGU0OTUiLCJ1c2VySWQiOiIzMTMxMzY2NTQifQ==</vt:lpwstr>
  </property>
</Properties>
</file>