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04" w:type="dxa"/>
        <w:tblInd w:w="0" w:type="dxa"/>
        <w:tblBorders>
          <w:top w:val="single" w:color="9CC2E5" w:themeColor="accent1" w:themeTint="99" w:sz="4" w:space="0"/>
          <w:left w:val="single" w:color="9CC2E5" w:themeColor="accent1" w:themeTint="99" w:sz="4" w:space="0"/>
          <w:bottom w:val="single" w:color="9CC2E5" w:themeColor="accent1" w:themeTint="99" w:sz="4" w:space="0"/>
          <w:right w:val="single" w:color="9CC2E5" w:themeColor="accent1" w:themeTint="99" w:sz="4" w:space="0"/>
          <w:insideH w:val="single" w:color="9CC2E5" w:themeColor="accent1" w:themeTint="99" w:sz="4" w:space="0"/>
          <w:insideV w:val="single" w:color="9CC2E5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071"/>
        <w:gridCol w:w="1200"/>
        <w:gridCol w:w="1261"/>
        <w:gridCol w:w="1286"/>
        <w:gridCol w:w="1311"/>
        <w:gridCol w:w="1299"/>
      </w:tblGrid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5058" w:type="dxa"/>
            <w:gridSpan w:val="4"/>
            <w:tcBorders>
              <w:top w:val="single" w:color="5B9BD5" w:themeColor="accent1" w:sz="4" w:space="0"/>
              <w:bottom w:val="single" w:color="5B9BD5" w:themeColor="accent1" w:sz="4" w:space="0"/>
              <w:right w:val="nil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:sz w:val="1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HRs (95%CIs)</w:t>
            </w:r>
            <w:bookmarkStart w:id="5" w:name="_GoBack"/>
            <w:bookmarkEnd w:id="5"/>
          </w:p>
        </w:tc>
        <w:tc>
          <w:tcPr>
            <w:tcW w:w="1299" w:type="dxa"/>
            <w:tcBorders>
              <w:top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  <w:insideH w:val="single" w:sz="4" w:space="0"/>
              <w:insideV w:val="nil"/>
            </w:tcBorders>
            <w:shd w:val="clear" w:color="auto" w:fill="5B9BD5" w:themeFill="accent1"/>
          </w:tcPr>
          <w:p>
            <w:pPr>
              <w:rPr>
                <w:b/>
                <w:bCs/>
                <w:color w:val="FFFFFF" w:themeColor="background1"/>
                <w:sz w:val="16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</w:p>
        </w:tc>
        <w:tc>
          <w:tcPr>
            <w:tcW w:w="1071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Cases</w:t>
            </w:r>
          </w:p>
        </w:tc>
        <w:tc>
          <w:tcPr>
            <w:tcW w:w="1200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0</w:t>
            </w:r>
          </w:p>
        </w:tc>
        <w:tc>
          <w:tcPr>
            <w:tcW w:w="1261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</w:t>
            </w: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rFonts w:hint="eastAsia"/>
                <w:b/>
                <w:bCs/>
                <w:sz w:val="15"/>
              </w:rPr>
              <w:t>3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rFonts w:hint="eastAsia"/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Ordinal scale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FNDP</w:t>
            </w:r>
          </w:p>
        </w:tc>
        <w:tc>
          <w:tcPr>
            <w:tcW w:w="1311" w:type="dxa"/>
          </w:tcPr>
          <w:p>
            <w:pPr>
              <w:jc w:val="left"/>
              <w:rPr>
                <w:sz w:val="15"/>
              </w:rPr>
            </w:pPr>
          </w:p>
        </w:tc>
        <w:tc>
          <w:tcPr>
            <w:tcW w:w="1299" w:type="dxa"/>
          </w:tcPr>
          <w:p>
            <w:pPr>
              <w:jc w:val="left"/>
              <w:rPr>
                <w:sz w:val="15"/>
              </w:rPr>
            </w:pP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 xml:space="preserve"> →Dementia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3,893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(0.96,1.12)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1.20 (1.09,1.33)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1.53 (1.22,1.93)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1.10 (1.05,1.15)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Baseline 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PD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1.743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1.05 (0.94,1.18)</w:t>
            </w:r>
          </w:p>
        </w:tc>
        <w:tc>
          <w:tcPr>
            <w:tcW w:w="1286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1.13 (0.99,1.31)</w:t>
            </w:r>
          </w:p>
        </w:tc>
        <w:tc>
          <w:tcPr>
            <w:tcW w:w="1311" w:type="dxa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1.17 (1.06,1.35)</w:t>
            </w:r>
          </w:p>
        </w:tc>
        <w:tc>
          <w:tcPr>
            <w:tcW w:w="1299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1.03 (0.97,1.11)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Anxiety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13.147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rFonts w:hint="eastAsia"/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(0.96.1.04)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(0.93.1.13)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1.09 (0.98,1.26)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 (0.98,1.07)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Depression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11.985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(0.95.1.04)</w:t>
            </w:r>
          </w:p>
        </w:tc>
        <w:tc>
          <w:tcPr>
            <w:tcW w:w="1286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1.06 (1.00,1.13)</w:t>
            </w:r>
          </w:p>
        </w:tc>
        <w:tc>
          <w:tcPr>
            <w:tcW w:w="1311" w:type="dxa"/>
          </w:tcPr>
          <w:p>
            <w:pPr>
              <w:tabs>
                <w:tab w:val="left" w:pos="728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1.13 (0.99.1.32)</w:t>
            </w:r>
          </w:p>
        </w:tc>
        <w:tc>
          <w:tcPr>
            <w:tcW w:w="1299" w:type="dxa"/>
          </w:tcPr>
          <w:p>
            <w:pPr>
              <w:tabs>
                <w:tab w:val="left" w:pos="450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1.02 (0.99,1.04)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  <w:vAlign w:val="center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Sleep disorders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6,648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1.41 (1.33,1.50)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2.17 (2.03,2.33)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3.08(2.68.3.53)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tabs>
                <w:tab w:val="left" w:pos="578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1.47 (1.42,1.52)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4" w:type="dxa"/>
            <w:gridSpan w:val="5"/>
          </w:tcPr>
          <w:p>
            <w:pPr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FNDP</w:t>
            </w:r>
            <w:bookmarkStart w:id="0" w:name="OLE_LINK1"/>
            <w:r>
              <w:rPr>
                <w:rFonts w:hint="eastAsia"/>
                <w:b/>
                <w:bCs/>
                <w:sz w:val="15"/>
              </w:rPr>
              <w:t>→</w:t>
            </w:r>
            <w:bookmarkEnd w:id="0"/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311" w:type="dxa"/>
          </w:tcPr>
          <w:p>
            <w:pPr>
              <w:rPr>
                <w:sz w:val="15"/>
              </w:rPr>
            </w:pPr>
          </w:p>
        </w:tc>
        <w:tc>
          <w:tcPr>
            <w:tcW w:w="1299" w:type="dxa"/>
          </w:tcPr>
          <w:p>
            <w:pPr>
              <w:rPr>
                <w:sz w:val="15"/>
              </w:rPr>
            </w:pP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Dementia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791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rFonts w:hint="eastAsia"/>
                <w:sz w:val="15"/>
              </w:rPr>
            </w:pPr>
            <w:bookmarkStart w:id="1" w:name="OLE_LINK4"/>
            <w:bookmarkStart w:id="2" w:name="OLE_LINK3"/>
            <w:r>
              <w:rPr>
                <w:sz w:val="15"/>
              </w:rPr>
              <w:t>Reference</w:t>
            </w:r>
            <w:bookmarkEnd w:id="1"/>
            <w:bookmarkEnd w:id="2"/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1.24 (0.90,1.72)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tabs>
                <w:tab w:val="left" w:pos="720"/>
              </w:tabs>
              <w:jc w:val="center"/>
              <w:rPr>
                <w:sz w:val="15"/>
              </w:rPr>
            </w:pPr>
            <w:r>
              <w:rPr>
                <w:sz w:val="15"/>
              </w:rPr>
              <w:t>0.97 (0.65,1.44)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1.90 (0.87,4.15)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1.05 (0.88,1.26)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PD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518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(0.78,1.33)</w:t>
            </w:r>
          </w:p>
        </w:tc>
        <w:tc>
          <w:tcPr>
            <w:tcW w:w="1286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1.16 (0.82.1.65)</w:t>
            </w:r>
          </w:p>
        </w:tc>
        <w:tc>
          <w:tcPr>
            <w:tcW w:w="131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(0.85.2.54)</w:t>
            </w:r>
          </w:p>
        </w:tc>
        <w:tc>
          <w:tcPr>
            <w:tcW w:w="1299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(0.88,1.20)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Anxiety</w:t>
            </w:r>
            <w:r>
              <w:rPr>
                <w:rFonts w:hint="eastAsia"/>
                <w:b/>
                <w:bCs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3,069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(0.93,1.13)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(0.90,1.20)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1.11 (0.75,1.64)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1.00 (0.93.1.07)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Depression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3,097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 (0.90,1.13)</w:t>
            </w:r>
          </w:p>
        </w:tc>
        <w:tc>
          <w:tcPr>
            <w:tcW w:w="1286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 (0.88,1.18)</w:t>
            </w:r>
          </w:p>
        </w:tc>
        <w:tc>
          <w:tcPr>
            <w:tcW w:w="131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1.27 (0.87,1.86)</w:t>
            </w:r>
          </w:p>
        </w:tc>
        <w:tc>
          <w:tcPr>
            <w:tcW w:w="1299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(0.96,1.09)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Sleep disorders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NMP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796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1.27 (0.89,1.42)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1.14 (0.87,1.48)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0.97 (0.83,1.17)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1.01 (0.91,1.14)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Baseline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16.395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1.18 (1.14,1.22)</w:t>
            </w:r>
          </w:p>
        </w:tc>
        <w:tc>
          <w:tcPr>
            <w:tcW w:w="1286" w:type="dxa"/>
          </w:tcPr>
          <w:p>
            <w:pPr>
              <w:tabs>
                <w:tab w:val="left" w:pos="555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1.65 (1.58,1.72)</w:t>
            </w:r>
          </w:p>
        </w:tc>
        <w:tc>
          <w:tcPr>
            <w:tcW w:w="1311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3.03 (2.80,3.29)</w:t>
            </w:r>
          </w:p>
        </w:tc>
        <w:tc>
          <w:tcPr>
            <w:tcW w:w="1299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1.33 (1.31,1.36)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4" w:type="dxa"/>
            <w:gridSpan w:val="7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rFonts w:hint="eastAsia"/>
                <w:b/>
                <w:bCs/>
                <w:sz w:val="15"/>
              </w:rPr>
              <w:t>FNDP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rFonts w:hint="eastAsia"/>
                <w:b/>
                <w:bCs/>
                <w:sz w:val="15"/>
              </w:rPr>
              <w:t>Death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Dementia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1,963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bookmarkStart w:id="3" w:name="OLE_LINK6"/>
            <w:bookmarkStart w:id="4" w:name="OLE_LINK5"/>
            <w:r>
              <w:rPr>
                <w:sz w:val="15"/>
              </w:rPr>
              <w:t>Reference</w:t>
            </w:r>
            <w:bookmarkEnd w:id="3"/>
            <w:bookmarkEnd w:id="4"/>
          </w:p>
        </w:tc>
        <w:tc>
          <w:tcPr>
            <w:tcW w:w="126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1.05 (0.93,1.17)</w:t>
            </w:r>
          </w:p>
        </w:tc>
        <w:tc>
          <w:tcPr>
            <w:tcW w:w="1286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(0.85,1.12)</w:t>
            </w:r>
          </w:p>
        </w:tc>
        <w:tc>
          <w:tcPr>
            <w:tcW w:w="131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1.18 (0.86.1.63)</w:t>
            </w:r>
          </w:p>
        </w:tc>
        <w:tc>
          <w:tcPr>
            <w:tcW w:w="1299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1.02 (0.97,1.14)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PD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0.98 (0.78,1.25)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1.49 (1.11,2.00)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1.18 (0.52.2.68)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tabs>
                <w:tab w:val="left" w:pos="555"/>
              </w:tabs>
              <w:jc w:val="center"/>
              <w:rPr>
                <w:sz w:val="15"/>
              </w:rPr>
            </w:pPr>
            <w:r>
              <w:rPr>
                <w:b/>
                <w:bCs/>
                <w:sz w:val="15"/>
              </w:rPr>
              <w:t>1.16 (1.01,1.34)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Anxiety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906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1.05 (0.84.1.32)</w:t>
            </w:r>
          </w:p>
        </w:tc>
        <w:tc>
          <w:tcPr>
            <w:tcW w:w="1286" w:type="dxa"/>
          </w:tcPr>
          <w:p>
            <w:pPr>
              <w:tabs>
                <w:tab w:val="left" w:pos="458"/>
              </w:tabs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1.53 (1.17,2.00)</w:t>
            </w:r>
          </w:p>
        </w:tc>
        <w:tc>
          <w:tcPr>
            <w:tcW w:w="1311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1.88 (1.01.3.47)</w:t>
            </w:r>
          </w:p>
        </w:tc>
        <w:tc>
          <w:tcPr>
            <w:tcW w:w="1299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1.23 (1.08,1.39)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Depression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860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1.21 (0.94,1.55)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2.15 (1.63,2.83)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3.40 (1.95,5.94)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1.49 (1.31,1.69)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 xml:space="preserve">Sleep disorders 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784</w:t>
            </w:r>
          </w:p>
        </w:tc>
        <w:tc>
          <w:tcPr>
            <w:tcW w:w="1200" w:type="dxa"/>
          </w:tcPr>
          <w:p>
            <w:pPr>
              <w:jc w:val="center"/>
              <w:rPr>
                <w:sz w:val="15"/>
              </w:rPr>
            </w:pPr>
            <w:r>
              <w:rPr>
                <w:kern w:val="0"/>
                <w:sz w:val="15"/>
              </w:rPr>
              <w:t>Reference</w:t>
            </w:r>
          </w:p>
        </w:tc>
        <w:tc>
          <w:tcPr>
            <w:tcW w:w="1261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1.26 (1.03,1.56)</w:t>
            </w:r>
          </w:p>
        </w:tc>
        <w:tc>
          <w:tcPr>
            <w:tcW w:w="1286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1.38 (1.10.1.73)</w:t>
            </w:r>
          </w:p>
        </w:tc>
        <w:tc>
          <w:tcPr>
            <w:tcW w:w="1311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1.85 (1.28,2.69)</w:t>
            </w:r>
          </w:p>
        </w:tc>
        <w:tc>
          <w:tcPr>
            <w:tcW w:w="1299" w:type="dxa"/>
          </w:tcPr>
          <w:p>
            <w:pPr>
              <w:jc w:val="center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1.19 (1.08,1.31)</w:t>
            </w:r>
          </w:p>
        </w:tc>
      </w:tr>
      <w:tr>
        <w:tblPrEx>
          <w:tblBorders>
            <w:top w:val="single" w:color="9CC2E5" w:themeColor="accent1" w:themeTint="99" w:sz="4" w:space="0"/>
            <w:left w:val="single" w:color="9CC2E5" w:themeColor="accent1" w:themeTint="99" w:sz="4" w:space="0"/>
            <w:bottom w:val="single" w:color="9CC2E5" w:themeColor="accent1" w:themeTint="99" w:sz="4" w:space="0"/>
            <w:right w:val="single" w:color="9CC2E5" w:themeColor="accent1" w:themeTint="99" w:sz="4" w:space="0"/>
            <w:insideH w:val="single" w:color="9CC2E5" w:themeColor="accent1" w:themeTint="99" w:sz="4" w:space="0"/>
            <w:insideV w:val="single" w:color="9CC2E5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DEEAF6" w:themeFill="accent1" w:themeFillTint="33"/>
          </w:tcPr>
          <w:p>
            <w:pPr>
              <w:jc w:val="left"/>
              <w:rPr>
                <w:b/>
                <w:bCs/>
                <w:sz w:val="15"/>
              </w:rPr>
            </w:pPr>
            <w:r>
              <w:rPr>
                <w:b/>
                <w:bCs/>
                <w:sz w:val="15"/>
              </w:rPr>
              <w:t>NMP</w:t>
            </w:r>
            <w:r>
              <w:rPr>
                <w:rFonts w:hint="eastAsia"/>
                <w:b/>
                <w:bCs/>
                <w:kern w:val="0"/>
                <w:sz w:val="15"/>
              </w:rPr>
              <w:t>→</w:t>
            </w:r>
            <w:r>
              <w:rPr>
                <w:b/>
                <w:bCs/>
                <w:sz w:val="15"/>
              </w:rPr>
              <w:t>Death</w:t>
            </w:r>
          </w:p>
        </w:tc>
        <w:tc>
          <w:tcPr>
            <w:tcW w:w="1071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711</w:t>
            </w:r>
          </w:p>
        </w:tc>
        <w:tc>
          <w:tcPr>
            <w:tcW w:w="1200" w:type="dxa"/>
            <w:shd w:val="clear" w:color="auto" w:fill="DEEAF6" w:themeFill="accent1" w:themeFillTint="33"/>
          </w:tcPr>
          <w:p>
            <w:pPr>
              <w:jc w:val="center"/>
              <w:rPr>
                <w:sz w:val="15"/>
              </w:rPr>
            </w:pPr>
            <w:r>
              <w:rPr>
                <w:sz w:val="15"/>
              </w:rPr>
              <w:t>Reference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>
            <w:pPr>
              <w:jc w:val="center"/>
              <w:rPr>
                <w:b w:val="0"/>
                <w:bCs w:val="0"/>
                <w:sz w:val="15"/>
              </w:rPr>
            </w:pPr>
            <w:r>
              <w:rPr>
                <w:b w:val="0"/>
                <w:bCs w:val="0"/>
                <w:sz w:val="15"/>
              </w:rPr>
              <w:t>1.09 (0.91,1.32)</w:t>
            </w:r>
          </w:p>
        </w:tc>
        <w:tc>
          <w:tcPr>
            <w:tcW w:w="1286" w:type="dxa"/>
            <w:shd w:val="clear" w:color="auto" w:fill="DEEAF6" w:themeFill="accent1" w:themeFillTint="33"/>
          </w:tcPr>
          <w:p>
            <w:pPr>
              <w:jc w:val="center"/>
              <w:rPr>
                <w:b w:val="0"/>
                <w:bCs w:val="0"/>
                <w:sz w:val="15"/>
              </w:rPr>
            </w:pPr>
            <w:r>
              <w:rPr>
                <w:b/>
                <w:bCs/>
                <w:sz w:val="15"/>
              </w:rPr>
              <w:t>1.36 (1.08,1.70)</w:t>
            </w:r>
          </w:p>
        </w:tc>
        <w:tc>
          <w:tcPr>
            <w:tcW w:w="1311" w:type="dxa"/>
            <w:shd w:val="clear" w:color="auto" w:fill="DEEAF6" w:themeFill="accent1" w:themeFillTint="33"/>
          </w:tcPr>
          <w:p>
            <w:pPr>
              <w:jc w:val="center"/>
              <w:rPr>
                <w:b w:val="0"/>
                <w:bCs w:val="0"/>
                <w:sz w:val="15"/>
              </w:rPr>
            </w:pPr>
            <w:r>
              <w:rPr>
                <w:b w:val="0"/>
                <w:bCs w:val="0"/>
                <w:sz w:val="15"/>
              </w:rPr>
              <w:t>1.06 (0.96,1.1.18)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>
            <w:pPr>
              <w:jc w:val="center"/>
              <w:rPr>
                <w:b w:val="0"/>
                <w:bCs w:val="0"/>
                <w:sz w:val="15"/>
              </w:rPr>
            </w:pPr>
            <w:r>
              <w:rPr>
                <w:b w:val="0"/>
                <w:bCs w:val="0"/>
                <w:sz w:val="15"/>
              </w:rPr>
              <w:t>1.10 (0.99,1.22)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jNzE3NjZkZGRiYjYzMmUyZTNlYjc5NGFmYjBmNjUifQ=="/>
  </w:docVars>
  <w:rsids>
    <w:rsidRoot w:val="008C6E3A"/>
    <w:rsid w:val="00125756"/>
    <w:rsid w:val="001F7170"/>
    <w:rsid w:val="00515CD2"/>
    <w:rsid w:val="00522E64"/>
    <w:rsid w:val="005D461E"/>
    <w:rsid w:val="0079166C"/>
    <w:rsid w:val="007D79DA"/>
    <w:rsid w:val="008C6E3A"/>
    <w:rsid w:val="00A77FA2"/>
    <w:rsid w:val="00B04316"/>
    <w:rsid w:val="00CA7EEA"/>
    <w:rsid w:val="0F227143"/>
    <w:rsid w:val="26B7734B"/>
    <w:rsid w:val="2C842D93"/>
    <w:rsid w:val="36DE639E"/>
    <w:rsid w:val="493D634C"/>
    <w:rsid w:val="607F58B7"/>
    <w:rsid w:val="7A6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Grid Table 4 Accent 1"/>
    <w:basedOn w:val="2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CD93-74D2-482E-80D8-A98D6C4ED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1522</Characters>
  <Lines>12</Lines>
  <Paragraphs>3</Paragraphs>
  <TotalTime>20</TotalTime>
  <ScaleCrop>false</ScaleCrop>
  <LinksUpToDate>false</LinksUpToDate>
  <CharactersWithSpaces>1785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2026-03-20T03:09:00Z</dcterms:created>
  <dc:creator>CN_EMC</dc:creator>
  <cp:lastModifiedBy>企业用户_367104328</cp:lastModifiedBy>
  <dcterms:modified xsi:type="dcterms:W3CDTF">2026-03-24T06:27:30Z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E8A15B2EEC6040D5B7C3E7554FA85869_12</vt:lpwstr>
  </property>
</Properties>
</file>