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99D327" w14:textId="77777777" w:rsidR="00252E06" w:rsidRPr="001F5A6D" w:rsidRDefault="00252E06" w:rsidP="00252E06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</w:pPr>
      <w:r w:rsidRPr="001F5A6D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Extended data</w:t>
      </w:r>
    </w:p>
    <w:p w14:paraId="69466106" w14:textId="77777777" w:rsidR="00252E06" w:rsidRPr="001F5A6D" w:rsidRDefault="00252E06" w:rsidP="00252E06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</w:pPr>
      <w:r w:rsidRPr="001F5A6D">
        <w:rPr>
          <w:rFonts w:ascii="Times New Roman" w:hAnsi="Times New Roman" w:cs="Times New Roman" w:hint="eastAsia"/>
          <w:b/>
          <w:bCs/>
          <w:color w:val="000000" w:themeColor="text1"/>
          <w:sz w:val="22"/>
          <w:szCs w:val="22"/>
        </w:rPr>
        <w:t xml:space="preserve">Extended Data </w:t>
      </w:r>
      <w:r w:rsidRPr="001F5A6D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Fig</w:t>
      </w:r>
      <w:r w:rsidRPr="001F5A6D">
        <w:rPr>
          <w:rFonts w:ascii="Times New Roman" w:hAnsi="Times New Roman" w:cs="Times New Roman" w:hint="eastAsia"/>
          <w:b/>
          <w:bCs/>
          <w:color w:val="000000" w:themeColor="text1"/>
          <w:sz w:val="22"/>
          <w:szCs w:val="22"/>
        </w:rPr>
        <w:t>.</w:t>
      </w:r>
      <w:r w:rsidRPr="001F5A6D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 xml:space="preserve"> 1 </w:t>
      </w:r>
      <w:r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Workflow for r</w:t>
      </w:r>
      <w:r w:rsidRPr="001F5A6D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 xml:space="preserve">ice </w:t>
      </w:r>
      <w:r w:rsidRPr="001F5A6D">
        <w:rPr>
          <w:rFonts w:ascii="Times New Roman" w:hAnsi="Times New Roman" w:cs="Times New Roman"/>
          <w:b/>
          <w:bCs/>
          <w:i/>
          <w:iCs/>
          <w:color w:val="000000" w:themeColor="text1"/>
          <w:sz w:val="22"/>
          <w:szCs w:val="22"/>
        </w:rPr>
        <w:t>in vitro</w:t>
      </w:r>
      <w:r w:rsidRPr="001F5A6D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 xml:space="preserve"> fertilisation (IVF): gamete isolation, electrofusion</w:t>
      </w:r>
      <w:r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,</w:t>
      </w:r>
      <w:r w:rsidRPr="001F5A6D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 xml:space="preserve"> and culture.</w:t>
      </w:r>
    </w:p>
    <w:p w14:paraId="4C05058F" w14:textId="77777777" w:rsidR="00252E06" w:rsidRPr="001F5A6D" w:rsidRDefault="00252E06" w:rsidP="00252E06">
      <w:pPr>
        <w:spacing w:line="360" w:lineRule="auto"/>
        <w:rPr>
          <w:rFonts w:ascii="Times New Roman" w:hAnsi="Times New Roman" w:cs="Times New Roman"/>
          <w:color w:val="000000" w:themeColor="text1"/>
          <w:sz w:val="22"/>
          <w:szCs w:val="22"/>
        </w:rPr>
      </w:pPr>
      <w:proofErr w:type="spellStart"/>
      <w:r w:rsidRPr="001F5A6D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i</w:t>
      </w:r>
      <w:proofErr w:type="spellEnd"/>
      <w:r w:rsidRPr="001F5A6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, Gamete isolation. Male and female gametes are isolated from pollen and ovules, respectively. Pollen grains are released from </w:t>
      </w:r>
      <w:r w:rsidRPr="001F5A6D">
        <w:rPr>
          <w:rFonts w:ascii="Times New Roman" w:eastAsia="Yu Mincho" w:hAnsi="Times New Roman" w:cs="Times New Roman"/>
          <w:color w:val="000000"/>
          <w:sz w:val="22"/>
          <w:szCs w:val="22"/>
        </w:rPr>
        <w:t xml:space="preserve">the anthers and osmotically burst in 370 </w:t>
      </w:r>
      <w:proofErr w:type="spellStart"/>
      <w:r w:rsidRPr="001F5A6D">
        <w:rPr>
          <w:rFonts w:ascii="Times New Roman" w:hAnsi="Times New Roman" w:cs="Times New Roman"/>
          <w:color w:val="000000" w:themeColor="text1"/>
          <w:sz w:val="22"/>
          <w:szCs w:val="22"/>
        </w:rPr>
        <w:t>mOsmol</w:t>
      </w:r>
      <w:proofErr w:type="spellEnd"/>
      <w:r w:rsidRPr="001F5A6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mannitol to release sperm cells. Unpollinated pistils are excised into mannitol and sectioned to expose </w:t>
      </w:r>
      <w:r w:rsidRPr="001F5A6D">
        <w:rPr>
          <w:rFonts w:ascii="Times New Roman" w:eastAsia="Yu Mincho" w:hAnsi="Times New Roman" w:cs="Times New Roman"/>
          <w:color w:val="000000"/>
          <w:sz w:val="22"/>
          <w:szCs w:val="22"/>
        </w:rPr>
        <w:t>the ovules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  <w:r w:rsidRPr="001F5A6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>
        <w:rPr>
          <w:rFonts w:ascii="Times New Roman" w:eastAsia="Yu Mincho" w:hAnsi="Times New Roman" w:cs="Times New Roman"/>
          <w:color w:val="000000"/>
          <w:sz w:val="22"/>
          <w:szCs w:val="22"/>
        </w:rPr>
        <w:t>E</w:t>
      </w:r>
      <w:r w:rsidRPr="001F5A6D">
        <w:rPr>
          <w:rFonts w:ascii="Times New Roman" w:eastAsia="Yu Mincho" w:hAnsi="Times New Roman" w:cs="Times New Roman"/>
          <w:color w:val="000000"/>
          <w:sz w:val="22"/>
          <w:szCs w:val="22"/>
        </w:rPr>
        <w:t xml:space="preserve">gg cells </w:t>
      </w:r>
      <w:r w:rsidRPr="001F5A6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are released by gently pressing </w:t>
      </w:r>
      <w:r w:rsidRPr="001F5A6D">
        <w:rPr>
          <w:rFonts w:ascii="Times New Roman" w:eastAsia="Yu Mincho" w:hAnsi="Times New Roman" w:cs="Times New Roman"/>
          <w:color w:val="000000"/>
          <w:sz w:val="22"/>
          <w:szCs w:val="22"/>
        </w:rPr>
        <w:t xml:space="preserve">the severed ovules and </w:t>
      </w:r>
      <w:r>
        <w:rPr>
          <w:rFonts w:ascii="Times New Roman" w:eastAsia="Yu Mincho" w:hAnsi="Times New Roman" w:cs="Times New Roman"/>
          <w:color w:val="000000"/>
          <w:sz w:val="22"/>
          <w:szCs w:val="22"/>
        </w:rPr>
        <w:t xml:space="preserve">are </w:t>
      </w:r>
      <w:r w:rsidRPr="001F5A6D">
        <w:rPr>
          <w:rFonts w:ascii="Times New Roman" w:eastAsia="Yu Mincho" w:hAnsi="Times New Roman" w:cs="Times New Roman"/>
          <w:color w:val="000000"/>
          <w:sz w:val="22"/>
          <w:szCs w:val="22"/>
        </w:rPr>
        <w:t xml:space="preserve">then isolated. </w:t>
      </w:r>
      <w:r w:rsidRPr="001F5A6D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ii</w:t>
      </w:r>
      <w:r w:rsidRPr="001F5A6D">
        <w:rPr>
          <w:rFonts w:ascii="Times New Roman" w:hAnsi="Times New Roman" w:cs="Times New Roman"/>
          <w:color w:val="000000" w:themeColor="text1"/>
          <w:sz w:val="22"/>
          <w:szCs w:val="22"/>
        </w:rPr>
        <w:t>, Electrofusion. The gametes are transferred to mannitol droplet</w:t>
      </w:r>
      <w:r w:rsidRPr="001F5A6D">
        <w:rPr>
          <w:rFonts w:ascii="Times New Roman" w:eastAsia="Yu Mincho" w:hAnsi="Times New Roman" w:cs="Times New Roman"/>
          <w:color w:val="000000"/>
          <w:sz w:val="22"/>
          <w:szCs w:val="22"/>
        </w:rPr>
        <w:t xml:space="preserve">s under mineral oil on a coverslip. An alternating current (AC) aligns and </w:t>
      </w:r>
      <w:r w:rsidRPr="001F5A6D">
        <w:rPr>
          <w:rFonts w:ascii="Times New Roman" w:hAnsi="Times New Roman" w:cs="Times New Roman"/>
          <w:color w:val="000000" w:themeColor="text1"/>
          <w:sz w:val="22"/>
          <w:szCs w:val="22"/>
        </w:rPr>
        <w:t>apposes the gametes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  <w:r w:rsidRPr="001F5A6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Following this,</w:t>
      </w:r>
      <w:r w:rsidRPr="001F5A6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520 </w:t>
      </w:r>
      <w:proofErr w:type="spellStart"/>
      <w:r w:rsidRPr="001F5A6D">
        <w:rPr>
          <w:rFonts w:ascii="Times New Roman" w:hAnsi="Times New Roman" w:cs="Times New Roman"/>
          <w:color w:val="000000" w:themeColor="text1"/>
          <w:sz w:val="22"/>
          <w:szCs w:val="22"/>
        </w:rPr>
        <w:t>mOsmol</w:t>
      </w:r>
      <w:proofErr w:type="spellEnd"/>
      <w:r w:rsidRPr="001F5A6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mannitol is added to reduce turgor and increase membrane contact. A direct current (DC) pulse induces membrane fusion to complete fertilisation.</w:t>
      </w:r>
      <w:r>
        <w:rPr>
          <w:rFonts w:ascii="Times New Roman" w:hAnsi="Times New Roman" w:cs="Times New Roman" w:hint="eastAsia"/>
          <w:color w:val="000000" w:themeColor="text1"/>
          <w:sz w:val="22"/>
          <w:szCs w:val="22"/>
        </w:rPr>
        <w:t xml:space="preserve"> </w:t>
      </w:r>
      <w:r w:rsidRPr="001F5A6D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iii</w:t>
      </w:r>
      <w:r w:rsidRPr="001F5A6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, Cell culture and regeneration. Zygotes are surface-sterilised and cultured in </w:t>
      </w:r>
      <w:proofErr w:type="spellStart"/>
      <w:r w:rsidRPr="001F5A6D">
        <w:rPr>
          <w:rFonts w:ascii="Times New Roman" w:hAnsi="Times New Roman" w:cs="Times New Roman"/>
          <w:color w:val="000000" w:themeColor="text1"/>
          <w:sz w:val="22"/>
          <w:szCs w:val="22"/>
        </w:rPr>
        <w:t>Millicell</w:t>
      </w:r>
      <w:proofErr w:type="spellEnd"/>
      <w:r w:rsidRPr="001F5A6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inserts with medium and OC helper cells for 1 week to form an early cell mass (&gt;100 cells). After transfer to fresh medium without OC, compact </w:t>
      </w:r>
      <w:proofErr w:type="spellStart"/>
      <w:r w:rsidRPr="001F5A6D">
        <w:rPr>
          <w:rFonts w:ascii="Times New Roman" w:hAnsi="Times New Roman" w:cs="Times New Roman"/>
          <w:color w:val="000000" w:themeColor="text1"/>
          <w:sz w:val="22"/>
          <w:szCs w:val="22"/>
        </w:rPr>
        <w:t>calli</w:t>
      </w:r>
      <w:proofErr w:type="spellEnd"/>
      <w:r w:rsidRPr="001F5A6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(&gt;2 mm) form</w:t>
      </w:r>
      <w:r w:rsidRPr="001F5A6D">
        <w:rPr>
          <w:rFonts w:ascii="Times New Roman" w:eastAsia="Yu Mincho" w:hAnsi="Times New Roman" w:cs="Times New Roman"/>
          <w:color w:val="000000"/>
          <w:sz w:val="22"/>
          <w:szCs w:val="22"/>
        </w:rPr>
        <w:t xml:space="preserve"> within 3 weeks. Transfer to the regeneration medium induces shoots (</w:t>
      </w:r>
      <w:r w:rsidRPr="001F5A6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approximately 6 weeks), and shooting </w:t>
      </w:r>
      <w:proofErr w:type="spellStart"/>
      <w:r w:rsidRPr="001F5A6D">
        <w:rPr>
          <w:rFonts w:ascii="Times New Roman" w:hAnsi="Times New Roman" w:cs="Times New Roman"/>
          <w:color w:val="000000" w:themeColor="text1"/>
          <w:sz w:val="22"/>
          <w:szCs w:val="22"/>
        </w:rPr>
        <w:t>calli</w:t>
      </w:r>
      <w:proofErr w:type="spellEnd"/>
      <w:r w:rsidRPr="001F5A6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are moved to </w:t>
      </w:r>
      <w:r w:rsidRPr="001F5A6D">
        <w:rPr>
          <w:rFonts w:ascii="Times New Roman" w:eastAsia="Yu Mincho" w:hAnsi="Times New Roman" w:cs="Times New Roman"/>
          <w:color w:val="000000"/>
          <w:sz w:val="22"/>
          <w:szCs w:val="22"/>
        </w:rPr>
        <w:t>the rooting medium to obtain plantlets</w:t>
      </w:r>
      <w:r w:rsidRPr="001F5A6D">
        <w:rPr>
          <w:rFonts w:ascii="Times New Roman" w:hAnsi="Times New Roman" w:cs="Times New Roman"/>
          <w:color w:val="0070C0"/>
          <w:sz w:val="22"/>
          <w:szCs w:val="22"/>
        </w:rPr>
        <w:fldChar w:fldCharType="begin"/>
      </w:r>
      <w:r>
        <w:rPr>
          <w:rFonts w:ascii="Times New Roman" w:hAnsi="Times New Roman" w:cs="Times New Roman"/>
          <w:color w:val="0070C0"/>
          <w:sz w:val="22"/>
          <w:szCs w:val="22"/>
        </w:rPr>
        <w:instrText xml:space="preserve"> ADDIN ZOTERO_ITEM CSL_CITATION {"citationID":"7i9jCYOd","properties":{"unsorted":true,"formattedCitation":"\\super 27,60\\nosupersub{}","plainCitation":"27,60","noteIndex":0},"citationItems":[{"id":3,"uris":["http://zotero.org/users/local/wyrKjKOS/items/EI3GMSIY"],"itemData":{"id":3,"type":"article-journal","container-title":"Planta","DOI":"10.1007/s00425-007-0506-2","ISSN":"0032-0935, 1432-2048","issue":"3","journalAbbreviation":"Planta","language":"en","page":"581-589","source":"DOI.org (Crossref)","title":"Establishment of an in vitro fertilization system in rice (Oryza sativa L.)","volume":"226","author":[{"family":"Uchiumi","given":"Takao"},{"family":"Uemura","given":"Isao"},{"family":"Okamoto","given":"Takashi"}],"issued":{"date-parts":[["2007",8]]}}},{"id":4,"uris":["http://zotero.org/users/local/wyrKjKOS/items/552RB3IV"],"itemData":{"id":4,"type":"article-journal","container-title":"Sexual Plant Reproduction","DOI":"10.1007/s00497-006-0020-x","ISSN":"0934-0882, 1432-2145","issue":"1","journalAbbreviation":"Sex Plant Reprod","language":"en","license":"http://www.springer.com/tdm","page":"37-45","source":"DOI.org (Crossref)","title":"Isolation of gametes and central cells from Oryza sativa L.","volume":"19","author":[{"family":"Uchiumi","given":"Takao"},{"family":"Komatsu","given":"Setsuko"},{"family":"Koshiba","given":"Tomokazu"},{"family":"Okamoto","given":"Takashi"}],"issued":{"date-parts":[["2006",3]]}}}],"schema":"https://github.com/citation-style-language/schema/raw/master/csl-citation.json"} </w:instrText>
      </w:r>
      <w:r w:rsidRPr="001F5A6D">
        <w:rPr>
          <w:rFonts w:ascii="Times New Roman" w:hAnsi="Times New Roman" w:cs="Times New Roman"/>
          <w:color w:val="0070C0"/>
          <w:sz w:val="22"/>
          <w:szCs w:val="22"/>
        </w:rPr>
        <w:fldChar w:fldCharType="separate"/>
      </w:r>
      <w:r w:rsidRPr="00F7330E">
        <w:rPr>
          <w:rFonts w:ascii="Times New Roman" w:hAnsi="Times New Roman" w:cs="Times New Roman"/>
          <w:kern w:val="0"/>
          <w:sz w:val="22"/>
          <w:vertAlign w:val="superscript"/>
        </w:rPr>
        <w:t>27,60</w:t>
      </w:r>
      <w:r w:rsidRPr="001F5A6D">
        <w:rPr>
          <w:rFonts w:ascii="Times New Roman" w:hAnsi="Times New Roman" w:cs="Times New Roman"/>
          <w:color w:val="0070C0"/>
          <w:sz w:val="22"/>
          <w:szCs w:val="22"/>
        </w:rPr>
        <w:fldChar w:fldCharType="end"/>
      </w:r>
      <w:r w:rsidRPr="001F5A6D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14:paraId="77B32BBE" w14:textId="77777777" w:rsidR="00252E06" w:rsidRPr="001F5A6D" w:rsidRDefault="00252E06" w:rsidP="00252E06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</w:pPr>
    </w:p>
    <w:p w14:paraId="2FA20E56" w14:textId="77777777" w:rsidR="00252E06" w:rsidRPr="001F5A6D" w:rsidRDefault="00252E06" w:rsidP="00252E06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</w:pPr>
      <w:r w:rsidRPr="001F5A6D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 xml:space="preserve">Extended Data Fig. </w:t>
      </w:r>
      <w:r w:rsidRPr="001F5A6D">
        <w:rPr>
          <w:rFonts w:ascii="Times New Roman" w:hAnsi="Times New Roman" w:cs="Times New Roman" w:hint="eastAsia"/>
          <w:b/>
          <w:bCs/>
          <w:color w:val="000000" w:themeColor="text1"/>
          <w:sz w:val="22"/>
          <w:szCs w:val="22"/>
        </w:rPr>
        <w:t>2</w:t>
      </w:r>
      <w:r w:rsidRPr="001F5A6D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 xml:space="preserve"> Quantitative phenotypes at </w:t>
      </w:r>
      <w:r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 xml:space="preserve">the </w:t>
      </w:r>
      <w:r w:rsidRPr="001F5A6D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grain</w:t>
      </w:r>
      <w:r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-</w:t>
      </w:r>
      <w:r w:rsidRPr="001F5A6D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filling</w:t>
      </w:r>
      <w:r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 xml:space="preserve"> stage</w:t>
      </w:r>
      <w:r w:rsidRPr="001F5A6D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 xml:space="preserve">: </w:t>
      </w:r>
      <w:r w:rsidRPr="001F5A6D">
        <w:rPr>
          <w:rFonts w:ascii="Times New Roman" w:hAnsi="Times New Roman" w:cs="Times New Roman"/>
          <w:b/>
          <w:bCs/>
          <w:i/>
          <w:iCs/>
          <w:color w:val="000000" w:themeColor="text1"/>
          <w:sz w:val="22"/>
          <w:szCs w:val="22"/>
        </w:rPr>
        <w:t>Quad</w:t>
      </w:r>
      <w:r w:rsidRPr="001F5A6D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 xml:space="preserve"> versus parents and NPKS.</w:t>
      </w:r>
    </w:p>
    <w:p w14:paraId="770CCBE3" w14:textId="77777777" w:rsidR="00252E06" w:rsidRPr="001F5A6D" w:rsidRDefault="00252E06" w:rsidP="00252E06">
      <w:pPr>
        <w:spacing w:line="360" w:lineRule="auto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1F5A6D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a–h</w:t>
      </w:r>
      <w:r w:rsidRPr="001F5A6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, Traits at grain filling for NP, KS, IR26, T65, NP×4, </w:t>
      </w:r>
      <w:r w:rsidRPr="001F5A6D">
        <w:rPr>
          <w:rFonts w:ascii="Times New Roman" w:hAnsi="Times New Roman" w:cs="Times New Roman"/>
          <w:i/>
          <w:iCs/>
          <w:color w:val="000000" w:themeColor="text1"/>
          <w:sz w:val="22"/>
          <w:szCs w:val="22"/>
        </w:rPr>
        <w:t>Quad1</w:t>
      </w:r>
      <w:r w:rsidRPr="001F5A6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, </w:t>
      </w:r>
      <w:r w:rsidRPr="001F5A6D">
        <w:rPr>
          <w:rFonts w:ascii="Times New Roman" w:hAnsi="Times New Roman" w:cs="Times New Roman"/>
          <w:i/>
          <w:iCs/>
          <w:color w:val="000000" w:themeColor="text1"/>
          <w:sz w:val="22"/>
          <w:szCs w:val="22"/>
        </w:rPr>
        <w:t>Quad2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,</w:t>
      </w:r>
      <w:r w:rsidRPr="001F5A6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and NPKS: plant height (</w:t>
      </w:r>
      <w:r w:rsidRPr="001F5A6D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a</w:t>
      </w:r>
      <w:r w:rsidRPr="001F5A6D">
        <w:rPr>
          <w:rFonts w:ascii="Times New Roman" w:hAnsi="Times New Roman" w:cs="Times New Roman"/>
          <w:color w:val="000000" w:themeColor="text1"/>
          <w:sz w:val="22"/>
          <w:szCs w:val="22"/>
        </w:rPr>
        <w:t>), flag‑leaf length (</w:t>
      </w:r>
      <w:r w:rsidRPr="001F5A6D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b</w:t>
      </w:r>
      <w:r w:rsidRPr="001F5A6D">
        <w:rPr>
          <w:rFonts w:ascii="Times New Roman" w:hAnsi="Times New Roman" w:cs="Times New Roman"/>
          <w:color w:val="000000" w:themeColor="text1"/>
          <w:sz w:val="22"/>
          <w:szCs w:val="22"/>
        </w:rPr>
        <w:t>), panicle length (</w:t>
      </w:r>
      <w:r w:rsidRPr="001F5A6D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c</w:t>
      </w:r>
      <w:r w:rsidRPr="001F5A6D">
        <w:rPr>
          <w:rFonts w:ascii="Times New Roman" w:hAnsi="Times New Roman" w:cs="Times New Roman"/>
          <w:color w:val="000000" w:themeColor="text1"/>
          <w:sz w:val="22"/>
          <w:szCs w:val="22"/>
        </w:rPr>
        <w:t>), flower number per panicle (</w:t>
      </w:r>
      <w:r w:rsidRPr="001F5A6D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d</w:t>
      </w:r>
      <w:r w:rsidRPr="001F5A6D">
        <w:rPr>
          <w:rFonts w:ascii="Times New Roman" w:hAnsi="Times New Roman" w:cs="Times New Roman"/>
          <w:color w:val="000000" w:themeColor="text1"/>
          <w:sz w:val="22"/>
          <w:szCs w:val="22"/>
        </w:rPr>
        <w:t>), proportion of awned flowers (</w:t>
      </w:r>
      <w:r w:rsidRPr="001F5A6D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e</w:t>
      </w:r>
      <w:r w:rsidRPr="001F5A6D">
        <w:rPr>
          <w:rFonts w:ascii="Times New Roman" w:hAnsi="Times New Roman" w:cs="Times New Roman"/>
          <w:color w:val="000000" w:themeColor="text1"/>
          <w:sz w:val="22"/>
          <w:szCs w:val="22"/>
        </w:rPr>
        <w:t>), awn length (</w:t>
      </w:r>
      <w:r w:rsidRPr="001F5A6D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f</w:t>
      </w:r>
      <w:r w:rsidRPr="001F5A6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), </w:t>
      </w:r>
      <w:proofErr w:type="spellStart"/>
      <w:r w:rsidRPr="003A1175">
        <w:rPr>
          <w:rFonts w:ascii="Times New Roman" w:hAnsi="Times New Roman" w:cs="Times New Roman"/>
          <w:color w:val="000000" w:themeColor="text1"/>
          <w:sz w:val="22"/>
          <w:szCs w:val="22"/>
        </w:rPr>
        <w:t>unhulled</w:t>
      </w:r>
      <w:proofErr w:type="spellEnd"/>
      <w:r w:rsidRPr="003A1175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seed length (</w:t>
      </w:r>
      <w:r w:rsidRPr="003A1175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g</w:t>
      </w:r>
      <w:r w:rsidRPr="003A1175">
        <w:rPr>
          <w:rFonts w:ascii="Times New Roman" w:hAnsi="Times New Roman" w:cs="Times New Roman"/>
          <w:color w:val="000000" w:themeColor="text1"/>
          <w:sz w:val="22"/>
          <w:szCs w:val="22"/>
        </w:rPr>
        <w:t>), and width</w:t>
      </w:r>
      <w:r w:rsidRPr="001F5A6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(</w:t>
      </w:r>
      <w:r w:rsidRPr="001F5A6D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h</w:t>
      </w:r>
      <w:r w:rsidRPr="001F5A6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). </w:t>
      </w:r>
      <w:r w:rsidRPr="001F5A6D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a–e</w:t>
      </w:r>
      <w:r w:rsidRPr="001F5A6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, Measurements were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obtained</w:t>
      </w:r>
      <w:r w:rsidRPr="001F5A6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from five panicles per plant; n indicates the total number of panicles analysed (NP, 5; KS, 5; IR26, 5; T65, 5; NP×4, 20; </w:t>
      </w:r>
      <w:r w:rsidRPr="001F5A6D">
        <w:rPr>
          <w:rFonts w:ascii="Times New Roman" w:hAnsi="Times New Roman" w:cs="Times New Roman"/>
          <w:i/>
          <w:iCs/>
          <w:color w:val="000000" w:themeColor="text1"/>
          <w:sz w:val="22"/>
          <w:szCs w:val="22"/>
        </w:rPr>
        <w:t>Quad1</w:t>
      </w:r>
      <w:r w:rsidRPr="001F5A6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, 25; </w:t>
      </w:r>
      <w:r w:rsidRPr="001F5A6D">
        <w:rPr>
          <w:rFonts w:ascii="Times New Roman" w:hAnsi="Times New Roman" w:cs="Times New Roman"/>
          <w:i/>
          <w:iCs/>
          <w:color w:val="000000" w:themeColor="text1"/>
          <w:sz w:val="22"/>
          <w:szCs w:val="22"/>
        </w:rPr>
        <w:t>Quad2</w:t>
      </w:r>
      <w:r w:rsidRPr="001F5A6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, 30; NPKS, 10). </w:t>
      </w:r>
      <w:r w:rsidRPr="001F5A6D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f</w:t>
      </w:r>
      <w:r w:rsidRPr="001F5A6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, Awn length was measured on all awns of a representative panicle from awned varieties only (IR26 and T65 are </w:t>
      </w:r>
      <w:proofErr w:type="spellStart"/>
      <w:r w:rsidRPr="001F5A6D">
        <w:rPr>
          <w:rFonts w:ascii="Times New Roman" w:hAnsi="Times New Roman" w:cs="Times New Roman"/>
          <w:color w:val="000000" w:themeColor="text1"/>
          <w:sz w:val="22"/>
          <w:szCs w:val="22"/>
        </w:rPr>
        <w:t>awnless</w:t>
      </w:r>
      <w:proofErr w:type="spellEnd"/>
      <w:r w:rsidRPr="001F5A6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); n is the number of awns (NP, 17; KS, 141; NP×4, 20; </w:t>
      </w:r>
      <w:r w:rsidRPr="001F5A6D">
        <w:rPr>
          <w:rFonts w:ascii="Times New Roman" w:hAnsi="Times New Roman" w:cs="Times New Roman"/>
          <w:i/>
          <w:iCs/>
          <w:color w:val="000000" w:themeColor="text1"/>
          <w:sz w:val="22"/>
          <w:szCs w:val="22"/>
        </w:rPr>
        <w:t>Quad1</w:t>
      </w:r>
      <w:r w:rsidRPr="001F5A6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, 118; </w:t>
      </w:r>
      <w:r w:rsidRPr="001F5A6D">
        <w:rPr>
          <w:rFonts w:ascii="Times New Roman" w:hAnsi="Times New Roman" w:cs="Times New Roman"/>
          <w:i/>
          <w:iCs/>
          <w:color w:val="000000" w:themeColor="text1"/>
          <w:sz w:val="22"/>
          <w:szCs w:val="22"/>
        </w:rPr>
        <w:t>Quad2</w:t>
      </w:r>
      <w:r w:rsidRPr="001F5A6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, 71; NPKS, 109). </w:t>
      </w:r>
      <w:r w:rsidRPr="001F5A6D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g–h</w:t>
      </w:r>
      <w:r w:rsidRPr="001F5A6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, </w:t>
      </w:r>
      <w:proofErr w:type="spellStart"/>
      <w:r w:rsidRPr="001F5A6D">
        <w:rPr>
          <w:rFonts w:ascii="Times New Roman" w:hAnsi="Times New Roman" w:cs="Times New Roman" w:hint="eastAsia"/>
          <w:color w:val="000000" w:themeColor="text1"/>
          <w:sz w:val="22"/>
          <w:szCs w:val="22"/>
        </w:rPr>
        <w:t>Unhulled</w:t>
      </w:r>
      <w:proofErr w:type="spellEnd"/>
      <w:r w:rsidRPr="001F5A6D">
        <w:rPr>
          <w:rFonts w:ascii="Times New Roman" w:hAnsi="Times New Roman" w:cs="Times New Roman" w:hint="eastAsia"/>
          <w:color w:val="000000" w:themeColor="text1"/>
          <w:sz w:val="22"/>
          <w:szCs w:val="22"/>
        </w:rPr>
        <w:t xml:space="preserve"> seed</w:t>
      </w:r>
      <w:r w:rsidRPr="001F5A6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length and width were measured for </w:t>
      </w:r>
      <w:r w:rsidRPr="001F5A6D">
        <w:rPr>
          <w:rFonts w:ascii="Times New Roman" w:hAnsi="Times New Roman" w:cs="Times New Roman" w:hint="eastAsia"/>
          <w:color w:val="000000" w:themeColor="text1"/>
          <w:sz w:val="22"/>
          <w:szCs w:val="22"/>
        </w:rPr>
        <w:t xml:space="preserve">all </w:t>
      </w:r>
      <w:proofErr w:type="spellStart"/>
      <w:r w:rsidRPr="001F5A6D">
        <w:rPr>
          <w:rFonts w:ascii="Times New Roman" w:hAnsi="Times New Roman" w:cs="Times New Roman" w:hint="eastAsia"/>
          <w:color w:val="000000" w:themeColor="text1"/>
          <w:sz w:val="22"/>
          <w:szCs w:val="22"/>
        </w:rPr>
        <w:t>unhulled</w:t>
      </w:r>
      <w:proofErr w:type="spellEnd"/>
      <w:r w:rsidRPr="001F5A6D">
        <w:rPr>
          <w:rFonts w:ascii="Times New Roman" w:hAnsi="Times New Roman" w:cs="Times New Roman" w:hint="eastAsia"/>
          <w:color w:val="000000" w:themeColor="text1"/>
          <w:sz w:val="22"/>
          <w:szCs w:val="22"/>
        </w:rPr>
        <w:t xml:space="preserve"> seeds</w:t>
      </w:r>
      <w:r w:rsidRPr="001F5A6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on a representative panicle; </w:t>
      </w:r>
      <w:r w:rsidRPr="001F5A6D">
        <w:rPr>
          <w:rFonts w:ascii="Times New Roman" w:eastAsia="Yu Mincho" w:hAnsi="Times New Roman" w:cs="Times New Roman"/>
          <w:color w:val="000000"/>
          <w:sz w:val="22"/>
          <w:szCs w:val="22"/>
        </w:rPr>
        <w:t xml:space="preserve">n is the number of </w:t>
      </w:r>
      <w:proofErr w:type="spellStart"/>
      <w:r w:rsidRPr="001F5A6D">
        <w:rPr>
          <w:rFonts w:ascii="Times New Roman" w:hAnsi="Times New Roman" w:cs="Times New Roman" w:hint="eastAsia"/>
          <w:color w:val="000000" w:themeColor="text1"/>
          <w:sz w:val="22"/>
          <w:szCs w:val="22"/>
        </w:rPr>
        <w:t>unhulled</w:t>
      </w:r>
      <w:proofErr w:type="spellEnd"/>
      <w:r w:rsidRPr="001F5A6D">
        <w:rPr>
          <w:rFonts w:ascii="Times New Roman" w:hAnsi="Times New Roman" w:cs="Times New Roman" w:hint="eastAsia"/>
          <w:color w:val="000000" w:themeColor="text1"/>
          <w:sz w:val="22"/>
          <w:szCs w:val="22"/>
        </w:rPr>
        <w:t xml:space="preserve"> seed</w:t>
      </w:r>
      <w:r w:rsidRPr="001F5A6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s (NP, 33; KS, 126; IR26, 75; T65, 41; NP×4, 30; </w:t>
      </w:r>
      <w:r w:rsidRPr="001F5A6D">
        <w:rPr>
          <w:rFonts w:ascii="Times New Roman" w:hAnsi="Times New Roman" w:cs="Times New Roman"/>
          <w:i/>
          <w:iCs/>
          <w:color w:val="000000" w:themeColor="text1"/>
          <w:sz w:val="22"/>
          <w:szCs w:val="22"/>
        </w:rPr>
        <w:t>Quad1</w:t>
      </w:r>
      <w:r w:rsidRPr="001F5A6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, 128; </w:t>
      </w:r>
      <w:r w:rsidRPr="001F5A6D">
        <w:rPr>
          <w:rFonts w:ascii="Times New Roman" w:hAnsi="Times New Roman" w:cs="Times New Roman"/>
          <w:i/>
          <w:iCs/>
          <w:color w:val="000000" w:themeColor="text1"/>
          <w:sz w:val="22"/>
          <w:szCs w:val="22"/>
        </w:rPr>
        <w:t>Quad2</w:t>
      </w:r>
      <w:r w:rsidRPr="001F5A6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, 55; NPKS, 108). Data are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presented as </w:t>
      </w:r>
      <w:r w:rsidRPr="001F5A6D">
        <w:rPr>
          <w:rFonts w:ascii="Times New Roman" w:hAnsi="Times New Roman" w:cs="Times New Roman"/>
          <w:color w:val="000000" w:themeColor="text1"/>
          <w:sz w:val="22"/>
          <w:szCs w:val="22"/>
        </w:rPr>
        <w:t>mean ± 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SD. </w:t>
      </w:r>
      <w:r w:rsidRPr="001F5A6D">
        <w:rPr>
          <w:rFonts w:ascii="Times New Roman" w:hAnsi="Times New Roman" w:cs="Times New Roman"/>
          <w:color w:val="000000" w:themeColor="text1"/>
          <w:sz w:val="22"/>
          <w:szCs w:val="22"/>
        </w:rPr>
        <w:t>One‑way ANOVA followed by Tukey’s HSD; different letters denote significant differences (P &lt; 0.05).</w:t>
      </w:r>
    </w:p>
    <w:p w14:paraId="40F6AAB7" w14:textId="77777777" w:rsidR="00252E06" w:rsidRPr="001F5A6D" w:rsidRDefault="00252E06" w:rsidP="00252E06">
      <w:pPr>
        <w:spacing w:line="360" w:lineRule="auto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52001402" w14:textId="77777777" w:rsidR="00252E06" w:rsidRPr="001F5A6D" w:rsidRDefault="00252E06" w:rsidP="00252E06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</w:pPr>
      <w:r w:rsidRPr="001F5A6D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 xml:space="preserve">Extended Data Fig. </w:t>
      </w:r>
      <w:r w:rsidRPr="001F5A6D">
        <w:rPr>
          <w:rFonts w:ascii="Times New Roman" w:hAnsi="Times New Roman" w:cs="Times New Roman" w:hint="eastAsia"/>
          <w:b/>
          <w:bCs/>
          <w:color w:val="000000" w:themeColor="text1"/>
          <w:sz w:val="22"/>
          <w:szCs w:val="22"/>
        </w:rPr>
        <w:t>3</w:t>
      </w:r>
      <w:r w:rsidRPr="001F5A6D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 xml:space="preserve"> Panicles and mature seeds of parents and tetraploid lines.</w:t>
      </w:r>
    </w:p>
    <w:p w14:paraId="680C6F49" w14:textId="77777777" w:rsidR="00252E06" w:rsidRPr="001F5A6D" w:rsidRDefault="00252E06" w:rsidP="00252E06">
      <w:pPr>
        <w:spacing w:line="360" w:lineRule="auto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1F5A6D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a</w:t>
      </w:r>
      <w:r w:rsidRPr="001F5A6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, Representative panicles of four parents (NP, KS, IR26, </w:t>
      </w:r>
      <w:r w:rsidRPr="001F5A6D">
        <w:rPr>
          <w:rFonts w:ascii="Times New Roman" w:eastAsia="Yu Mincho" w:hAnsi="Times New Roman" w:cs="Times New Roman"/>
          <w:color w:val="000000"/>
          <w:sz w:val="22"/>
          <w:szCs w:val="22"/>
        </w:rPr>
        <w:t xml:space="preserve">and T65) </w:t>
      </w:r>
      <w:r w:rsidRPr="001F5A6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and tetraploid lines (NPx4, </w:t>
      </w:r>
      <w:r w:rsidRPr="001F5A6D">
        <w:rPr>
          <w:rFonts w:ascii="Times New Roman" w:hAnsi="Times New Roman" w:cs="Times New Roman"/>
          <w:i/>
          <w:iCs/>
          <w:color w:val="000000" w:themeColor="text1"/>
          <w:sz w:val="22"/>
          <w:szCs w:val="22"/>
        </w:rPr>
        <w:t>Quad</w:t>
      </w:r>
      <w:r w:rsidRPr="001F5A6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and NPKS). Scale bar, 10 cm. </w:t>
      </w:r>
      <w:r w:rsidRPr="001F5A6D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b</w:t>
      </w:r>
      <w:r w:rsidRPr="001F5A6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, Representative </w:t>
      </w:r>
      <w:proofErr w:type="spellStart"/>
      <w:r w:rsidRPr="00A63319">
        <w:rPr>
          <w:rFonts w:ascii="Times New Roman" w:hAnsi="Times New Roman" w:cs="Times New Roman"/>
          <w:color w:val="000000" w:themeColor="text1"/>
          <w:sz w:val="22"/>
          <w:szCs w:val="22"/>
        </w:rPr>
        <w:t>unhulled</w:t>
      </w:r>
      <w:proofErr w:type="spellEnd"/>
      <w:r w:rsidRPr="00A6331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1F5A6D">
        <w:rPr>
          <w:rFonts w:ascii="Times New Roman" w:hAnsi="Times New Roman" w:cs="Times New Roman"/>
          <w:color w:val="000000" w:themeColor="text1"/>
          <w:sz w:val="22"/>
          <w:szCs w:val="22"/>
        </w:rPr>
        <w:t>seeds</w:t>
      </w:r>
      <w:r>
        <w:rPr>
          <w:rFonts w:ascii="Times New Roman" w:hAnsi="Times New Roman" w:cs="Times New Roman" w:hint="eastAsia"/>
          <w:color w:val="000000" w:themeColor="text1"/>
          <w:sz w:val="22"/>
          <w:szCs w:val="22"/>
        </w:rPr>
        <w:t xml:space="preserve"> </w:t>
      </w:r>
      <w:r w:rsidRPr="001F5A6D">
        <w:rPr>
          <w:rFonts w:ascii="Times New Roman" w:hAnsi="Times New Roman" w:cs="Times New Roman"/>
          <w:color w:val="000000" w:themeColor="text1"/>
          <w:sz w:val="22"/>
          <w:szCs w:val="22"/>
        </w:rPr>
        <w:t>of the four parents and tetraploid lines. Scale bar, 2 cm.</w:t>
      </w:r>
    </w:p>
    <w:p w14:paraId="1D23A5B8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2E06"/>
    <w:rsid w:val="00066677"/>
    <w:rsid w:val="00252E06"/>
    <w:rsid w:val="003A4E89"/>
    <w:rsid w:val="00556784"/>
    <w:rsid w:val="008B07A6"/>
    <w:rsid w:val="00987B63"/>
    <w:rsid w:val="009A4E6E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59A4E2"/>
  <w15:chartTrackingRefBased/>
  <w15:docId w15:val="{3B262CA2-AA24-40E6-AD13-CE16A82CFB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2E06"/>
    <w:pPr>
      <w:widowControl w:val="0"/>
      <w:spacing w:after="0" w:line="240" w:lineRule="auto"/>
      <w:jc w:val="both"/>
    </w:pPr>
    <w:rPr>
      <w:rFonts w:eastAsiaTheme="minorEastAsia"/>
      <w:sz w:val="21"/>
      <w:lang w:val="en-GB" w:eastAsia="ja-JP"/>
    </w:rPr>
  </w:style>
  <w:style w:type="paragraph" w:styleId="Heading1">
    <w:name w:val="heading 1"/>
    <w:basedOn w:val="Normal"/>
    <w:next w:val="Normal"/>
    <w:link w:val="Heading1Char"/>
    <w:uiPriority w:val="9"/>
    <w:qFormat/>
    <w:rsid w:val="00252E06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52E06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52E06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52E06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val="en-US"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52E06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val="en-US"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52E06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val="en-US"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52E06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val="en-US"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52E06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val="en-US"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52E06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52E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2E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52E0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52E0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52E0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52E0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52E0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52E0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52E0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52E06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</w:rPr>
  </w:style>
  <w:style w:type="character" w:customStyle="1" w:styleId="TitleChar">
    <w:name w:val="Title Char"/>
    <w:basedOn w:val="DefaultParagraphFont"/>
    <w:link w:val="Title"/>
    <w:uiPriority w:val="10"/>
    <w:rsid w:val="00252E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52E06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252E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52E06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val="en-US" w:eastAsia="en-US"/>
    </w:rPr>
  </w:style>
  <w:style w:type="character" w:customStyle="1" w:styleId="QuoteChar">
    <w:name w:val="Quote Char"/>
    <w:basedOn w:val="DefaultParagraphFont"/>
    <w:link w:val="Quote"/>
    <w:uiPriority w:val="29"/>
    <w:rsid w:val="00252E0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52E06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val="en-US" w:eastAsia="en-US"/>
    </w:rPr>
  </w:style>
  <w:style w:type="character" w:styleId="IntenseEmphasis">
    <w:name w:val="Intense Emphasis"/>
    <w:basedOn w:val="DefaultParagraphFont"/>
    <w:uiPriority w:val="21"/>
    <w:qFormat/>
    <w:rsid w:val="00252E0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52E06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val="en-US"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52E0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52E0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432</Words>
  <Characters>2247</Characters>
  <Application>Microsoft Office Word</Application>
  <DocSecurity>0</DocSecurity>
  <Lines>32</Lines>
  <Paragraphs>7</Paragraphs>
  <ScaleCrop>false</ScaleCrop>
  <Company/>
  <LinksUpToDate>false</LinksUpToDate>
  <CharactersWithSpaces>2669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2026-04-02T06:49:00Z</dcterms:created>
  <dcterms:modified xsi:type="dcterms:W3CDTF">2026-04-02T06:49:00Z</dcterms:modified>
</cp:coreProperties>
</file>