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E6175" w14:textId="77777777" w:rsidR="004665E1" w:rsidRPr="003E535D" w:rsidRDefault="004665E1" w:rsidP="004665E1">
      <w:pPr>
        <w:spacing w:before="240" w:after="240"/>
        <w:rPr>
          <w:b/>
          <w:bCs/>
          <w:sz w:val="20"/>
          <w:szCs w:val="20"/>
        </w:rPr>
      </w:pPr>
      <w:r w:rsidRPr="003E535D">
        <w:rPr>
          <w:b/>
          <w:bCs/>
          <w:sz w:val="20"/>
          <w:szCs w:val="20"/>
        </w:rPr>
        <w:t xml:space="preserve">Supplementary Methods: </w:t>
      </w:r>
    </w:p>
    <w:p w14:paraId="264D8E7C" w14:textId="77777777" w:rsidR="004665E1" w:rsidRPr="003E535D" w:rsidRDefault="004665E1" w:rsidP="004665E1">
      <w:pPr>
        <w:spacing w:before="240" w:after="240"/>
        <w:rPr>
          <w:sz w:val="20"/>
          <w:szCs w:val="20"/>
        </w:rPr>
      </w:pPr>
      <w:r w:rsidRPr="003E535D">
        <w:rPr>
          <w:b/>
          <w:bCs/>
          <w:sz w:val="20"/>
          <w:szCs w:val="20"/>
        </w:rPr>
        <w:t xml:space="preserve">Sample Collection: </w:t>
      </w:r>
      <w:r w:rsidRPr="003E535D">
        <w:rPr>
          <w:sz w:val="20"/>
          <w:szCs w:val="20"/>
        </w:rPr>
        <w:t xml:space="preserve">Beginning with a commercially sourced population obtained from Carolina Biological Supply and shipped in a standard flour medium likely containing ~5% baker’s yeast; this initial generation (G0) represented beetles acclimated to commercial rearing conditions prior to transfer into controlled laboratory diets. </w:t>
      </w:r>
    </w:p>
    <w:p w14:paraId="086001BE" w14:textId="77777777" w:rsidR="004665E1" w:rsidRPr="003E535D" w:rsidRDefault="004665E1" w:rsidP="004665E1">
      <w:pPr>
        <w:spacing w:before="240" w:after="240"/>
        <w:rPr>
          <w:sz w:val="20"/>
          <w:szCs w:val="20"/>
        </w:rPr>
      </w:pPr>
      <w:r w:rsidRPr="003E535D">
        <w:rPr>
          <w:b/>
          <w:bCs/>
          <w:sz w:val="20"/>
          <w:szCs w:val="20"/>
        </w:rPr>
        <w:t>DNA Extraction and 16S rRNA Sequencing:</w:t>
      </w:r>
      <w:r w:rsidRPr="003E535D">
        <w:rPr>
          <w:sz w:val="20"/>
          <w:szCs w:val="20"/>
        </w:rPr>
        <w:t xml:space="preserve"> Genomic DNA was extracted from dissected gut tissues using a standardized extraction protocol optimized for low-biomass insect samples. Gut tissues were mechanically disrupted and lysed, followed by chemical extraction and purification steps to recover total DNA. Extraction blanks were included alongside biological samples to monitor contamination introduced during extraction. DNA concentrations were quantified using a fluorometric assay, and samples yielding sufficient DNA were retained for downstream library preparation.</w:t>
      </w:r>
    </w:p>
    <w:p w14:paraId="662F8F91" w14:textId="77777777" w:rsidR="004665E1" w:rsidRPr="003E535D" w:rsidRDefault="004665E1" w:rsidP="004665E1">
      <w:pPr>
        <w:spacing w:before="240" w:after="240"/>
        <w:rPr>
          <w:sz w:val="20"/>
          <w:szCs w:val="20"/>
        </w:rPr>
      </w:pPr>
      <w:r w:rsidRPr="003E535D">
        <w:rPr>
          <w:sz w:val="20"/>
          <w:szCs w:val="20"/>
        </w:rPr>
        <w:t>Bacterial community composition was characterized by sequencing the 16S rRNA gene V4 variable region using PCR primers 515/806, with a barcode on the forward primer. Primers were selected to maximize taxonomic coverage while minimizing amplification bias across major bacterial lineages. PCR amplification was performed under standardized cycling conditions, and amplicon quality and size were verified prior to library preparation</w:t>
      </w:r>
    </w:p>
    <w:p w14:paraId="49A39AB2" w14:textId="77777777" w:rsidR="004665E1" w:rsidRPr="003E535D" w:rsidRDefault="004665E1" w:rsidP="004665E1">
      <w:pPr>
        <w:spacing w:before="240" w:after="240"/>
        <w:rPr>
          <w:sz w:val="20"/>
          <w:szCs w:val="20"/>
        </w:rPr>
      </w:pPr>
      <w:r w:rsidRPr="003E535D">
        <w:rPr>
          <w:b/>
          <w:bCs/>
          <w:sz w:val="20"/>
          <w:szCs w:val="20"/>
        </w:rPr>
        <w:t xml:space="preserve">Sequence Processing and Statistical Analysis: </w:t>
      </w:r>
      <w:r w:rsidRPr="003E535D">
        <w:rPr>
          <w:sz w:val="20"/>
          <w:szCs w:val="20"/>
        </w:rPr>
        <w:t>Raw sequence data were processed in QIIME 2 (version 2023.9) using the DADA2 plugin for denoising and amplicon sequence variant (ASV) inference. Paired-end reads were trimmed by 20 bases at the 5′ end (--p-trim-left-f 20, --p-trim-left-r 20) and truncated to 200 bases (--p-</w:t>
      </w:r>
      <w:proofErr w:type="spellStart"/>
      <w:r w:rsidRPr="003E535D">
        <w:rPr>
          <w:sz w:val="20"/>
          <w:szCs w:val="20"/>
        </w:rPr>
        <w:t>trunc</w:t>
      </w:r>
      <w:proofErr w:type="spellEnd"/>
      <w:r w:rsidRPr="003E535D">
        <w:rPr>
          <w:sz w:val="20"/>
          <w:szCs w:val="20"/>
        </w:rPr>
        <w:t>-</w:t>
      </w:r>
      <w:proofErr w:type="spellStart"/>
      <w:r w:rsidRPr="003E535D">
        <w:rPr>
          <w:sz w:val="20"/>
          <w:szCs w:val="20"/>
        </w:rPr>
        <w:t>len</w:t>
      </w:r>
      <w:proofErr w:type="spellEnd"/>
      <w:r w:rsidRPr="003E535D">
        <w:rPr>
          <w:sz w:val="20"/>
          <w:szCs w:val="20"/>
        </w:rPr>
        <w:t>-f 200, --p-</w:t>
      </w:r>
      <w:proofErr w:type="spellStart"/>
      <w:r w:rsidRPr="003E535D">
        <w:rPr>
          <w:sz w:val="20"/>
          <w:szCs w:val="20"/>
        </w:rPr>
        <w:t>trunc</w:t>
      </w:r>
      <w:proofErr w:type="spellEnd"/>
      <w:r w:rsidRPr="003E535D">
        <w:rPr>
          <w:sz w:val="20"/>
          <w:szCs w:val="20"/>
        </w:rPr>
        <w:t>-</w:t>
      </w:r>
      <w:proofErr w:type="spellStart"/>
      <w:r w:rsidRPr="003E535D">
        <w:rPr>
          <w:sz w:val="20"/>
          <w:szCs w:val="20"/>
        </w:rPr>
        <w:t>len</w:t>
      </w:r>
      <w:proofErr w:type="spellEnd"/>
      <w:r w:rsidRPr="003E535D">
        <w:rPr>
          <w:sz w:val="20"/>
          <w:szCs w:val="20"/>
        </w:rPr>
        <w:t>-r 200) based on per‑run quality profiles; all other DADA2 parameters, including chimera removal (consensus method), minimum overlap, and error model learning, were left at QIIME 2 defaults. Taxonomic assignment was performed using a Naive Bayes classifier trained on the Greengenes2 2022.10 full‑length reference database, trimmed to the 515F/806R region to match the primers used. Samples with fewer than 10,000 high‑quality reads were excluded, and for alpha- and beta‑diversity analyses the ASV table was rarefied to 100,000 reads per sample to standardize sequencing depth. For visualization of community composition, low‑abundance taxa with overall mean relative abundance below 0.5% were grouped into a “&lt;0.5%” category.</w:t>
      </w:r>
    </w:p>
    <w:p w14:paraId="24728385" w14:textId="77777777" w:rsidR="004665E1" w:rsidRPr="003E535D" w:rsidRDefault="004665E1" w:rsidP="004665E1">
      <w:pPr>
        <w:spacing w:before="240" w:after="240"/>
        <w:rPr>
          <w:sz w:val="20"/>
          <w:szCs w:val="20"/>
        </w:rPr>
      </w:pPr>
      <w:r w:rsidRPr="003E535D">
        <w:rPr>
          <w:sz w:val="20"/>
          <w:szCs w:val="20"/>
        </w:rPr>
        <w:t xml:space="preserve">All statistical analyses were conducted in R (version 4.3.1) using </w:t>
      </w:r>
      <w:proofErr w:type="spellStart"/>
      <w:r w:rsidRPr="003E535D">
        <w:rPr>
          <w:sz w:val="20"/>
          <w:szCs w:val="20"/>
        </w:rPr>
        <w:t>phyloseq</w:t>
      </w:r>
      <w:proofErr w:type="spellEnd"/>
      <w:r w:rsidRPr="003E535D">
        <w:rPr>
          <w:sz w:val="20"/>
          <w:szCs w:val="20"/>
        </w:rPr>
        <w:t xml:space="preserve"> (v1.46.0), vegan (v2.7‑1), </w:t>
      </w:r>
      <w:proofErr w:type="spellStart"/>
      <w:r w:rsidRPr="003E535D">
        <w:rPr>
          <w:sz w:val="20"/>
          <w:szCs w:val="20"/>
        </w:rPr>
        <w:t>tidyverse</w:t>
      </w:r>
      <w:proofErr w:type="spellEnd"/>
      <w:r w:rsidRPr="003E535D">
        <w:rPr>
          <w:sz w:val="20"/>
          <w:szCs w:val="20"/>
        </w:rPr>
        <w:t xml:space="preserve"> (v2.0.0), DESeq2 (v1.42.1), and </w:t>
      </w:r>
      <w:proofErr w:type="spellStart"/>
      <w:r w:rsidRPr="003E535D">
        <w:rPr>
          <w:sz w:val="20"/>
          <w:szCs w:val="20"/>
        </w:rPr>
        <w:t>pheatmap</w:t>
      </w:r>
      <w:proofErr w:type="spellEnd"/>
      <w:r w:rsidRPr="003E535D">
        <w:rPr>
          <w:sz w:val="20"/>
          <w:szCs w:val="20"/>
        </w:rPr>
        <w:t xml:space="preserve"> (v1.0.13). Alpha diversity (observed richness, Shannon diversity) was calculated using </w:t>
      </w:r>
      <w:proofErr w:type="spellStart"/>
      <w:r w:rsidRPr="003E535D">
        <w:rPr>
          <w:sz w:val="20"/>
          <w:szCs w:val="20"/>
        </w:rPr>
        <w:t>estimate_richness</w:t>
      </w:r>
      <w:proofErr w:type="spellEnd"/>
      <w:r w:rsidRPr="003E535D">
        <w:rPr>
          <w:sz w:val="20"/>
          <w:szCs w:val="20"/>
        </w:rPr>
        <w:t xml:space="preserve"> from </w:t>
      </w:r>
      <w:proofErr w:type="spellStart"/>
      <w:r w:rsidRPr="003E535D">
        <w:rPr>
          <w:sz w:val="20"/>
          <w:szCs w:val="20"/>
        </w:rPr>
        <w:t>phyloseq</w:t>
      </w:r>
      <w:proofErr w:type="spellEnd"/>
      <w:r w:rsidRPr="003E535D">
        <w:rPr>
          <w:sz w:val="20"/>
          <w:szCs w:val="20"/>
        </w:rPr>
        <w:t>, and differences among groups were assessed with Kruskal–Wallis tests (</w:t>
      </w:r>
      <w:proofErr w:type="spellStart"/>
      <w:r w:rsidRPr="003E535D">
        <w:rPr>
          <w:sz w:val="20"/>
          <w:szCs w:val="20"/>
        </w:rPr>
        <w:t>kruskal.test</w:t>
      </w:r>
      <w:proofErr w:type="spellEnd"/>
      <w:r w:rsidRPr="003E535D">
        <w:rPr>
          <w:sz w:val="20"/>
          <w:szCs w:val="20"/>
        </w:rPr>
        <w:t>). Bray–Curtis dissimilarities were computed from ASV abundance data, and principal coordinates analysis (</w:t>
      </w:r>
      <w:proofErr w:type="spellStart"/>
      <w:r w:rsidRPr="003E535D">
        <w:rPr>
          <w:sz w:val="20"/>
          <w:szCs w:val="20"/>
        </w:rPr>
        <w:t>PCoA</w:t>
      </w:r>
      <w:proofErr w:type="spellEnd"/>
      <w:r w:rsidRPr="003E535D">
        <w:rPr>
          <w:sz w:val="20"/>
          <w:szCs w:val="20"/>
        </w:rPr>
        <w:t>) was performed with ordinate (method = "</w:t>
      </w:r>
      <w:proofErr w:type="spellStart"/>
      <w:r w:rsidRPr="003E535D">
        <w:rPr>
          <w:sz w:val="20"/>
          <w:szCs w:val="20"/>
        </w:rPr>
        <w:t>PCoA</w:t>
      </w:r>
      <w:proofErr w:type="spellEnd"/>
      <w:r w:rsidRPr="003E535D">
        <w:rPr>
          <w:sz w:val="20"/>
          <w:szCs w:val="20"/>
        </w:rPr>
        <w:t xml:space="preserve">", distance = "bray") and visualized using </w:t>
      </w:r>
      <w:proofErr w:type="spellStart"/>
      <w:r w:rsidRPr="003E535D">
        <w:rPr>
          <w:sz w:val="20"/>
          <w:szCs w:val="20"/>
        </w:rPr>
        <w:t>plot_ordination</w:t>
      </w:r>
      <w:proofErr w:type="spellEnd"/>
      <w:r w:rsidRPr="003E535D">
        <w:rPr>
          <w:sz w:val="20"/>
          <w:szCs w:val="20"/>
        </w:rPr>
        <w:t xml:space="preserve">. Differences in community composition were tested via PERMANOVA using adonis2 (999 permutations) with generation, treatment, and their interaction as predictors. For differential abundance analysis, ASV counts were aggregated to the order level with </w:t>
      </w:r>
      <w:proofErr w:type="spellStart"/>
      <w:r w:rsidRPr="003E535D">
        <w:rPr>
          <w:sz w:val="20"/>
          <w:szCs w:val="20"/>
        </w:rPr>
        <w:t>tax_glom</w:t>
      </w:r>
      <w:proofErr w:type="spellEnd"/>
      <w:r w:rsidRPr="003E535D">
        <w:rPr>
          <w:sz w:val="20"/>
          <w:szCs w:val="20"/>
        </w:rPr>
        <w:t xml:space="preserve">, converted to a DESeq2 object with phyloseq_to_deseq2, and analyzed using Wald tests with Benjamini–Hochberg false discovery rate correction (adjusted p &lt; 0.05). Heatmaps of dominant orders were generated with </w:t>
      </w:r>
      <w:proofErr w:type="spellStart"/>
      <w:r w:rsidRPr="003E535D">
        <w:rPr>
          <w:sz w:val="20"/>
          <w:szCs w:val="20"/>
        </w:rPr>
        <w:t>pheatmap</w:t>
      </w:r>
      <w:proofErr w:type="spellEnd"/>
      <w:r w:rsidRPr="003E535D">
        <w:rPr>
          <w:sz w:val="20"/>
          <w:szCs w:val="20"/>
        </w:rPr>
        <w:t xml:space="preserve"> from variance‑stabilized counts, clustering taxa by row‑scaled abundance and annotating orders that differed significantly from baseline conditions.</w:t>
      </w:r>
    </w:p>
    <w:p w14:paraId="582C4B86" w14:textId="77777777" w:rsidR="004665E1" w:rsidRPr="003E535D" w:rsidRDefault="004665E1" w:rsidP="004665E1">
      <w:pPr>
        <w:spacing w:before="240" w:after="240"/>
        <w:rPr>
          <w:b/>
          <w:bCs/>
          <w:sz w:val="20"/>
          <w:szCs w:val="20"/>
        </w:rPr>
      </w:pPr>
      <w:r w:rsidRPr="003E535D">
        <w:rPr>
          <w:b/>
          <w:bCs/>
          <w:sz w:val="20"/>
          <w:szCs w:val="20"/>
        </w:rPr>
        <w:t>Supplementary Results S1. Environmental microbial communities in flour substrates</w:t>
      </w:r>
    </w:p>
    <w:p w14:paraId="365A3516" w14:textId="77777777" w:rsidR="004665E1" w:rsidRPr="003E535D" w:rsidRDefault="004665E1" w:rsidP="004665E1">
      <w:pPr>
        <w:spacing w:before="240" w:after="240"/>
        <w:rPr>
          <w:sz w:val="20"/>
          <w:szCs w:val="20"/>
        </w:rPr>
      </w:pPr>
      <w:r w:rsidRPr="003E535D">
        <w:rPr>
          <w:sz w:val="20"/>
          <w:szCs w:val="20"/>
        </w:rPr>
        <w:t xml:space="preserve">Because Tribolium </w:t>
      </w:r>
      <w:proofErr w:type="spellStart"/>
      <w:r w:rsidRPr="003E535D">
        <w:rPr>
          <w:sz w:val="20"/>
          <w:szCs w:val="20"/>
        </w:rPr>
        <w:t>castaneum</w:t>
      </w:r>
      <w:proofErr w:type="spellEnd"/>
      <w:r w:rsidRPr="003E535D">
        <w:rPr>
          <w:sz w:val="20"/>
          <w:szCs w:val="20"/>
        </w:rPr>
        <w:t xml:space="preserve"> resides entirely within flour that simultaneously serves as habitat, diet, and microbial reservoir, the microbial communities present in the flour environment represent a key potential source of gut colonists. We therefore characterized bacterial communities in the oat and whole‑wheat flours used in the experiment, sampling both fresh and beetle‑conditioned (“used”) substrates. Order‑level profiles differed between flour types and between fresh and used flours (Fig. 3a). Across flour types, communities were dominated by </w:t>
      </w:r>
      <w:proofErr w:type="spellStart"/>
      <w:r w:rsidRPr="003E535D">
        <w:rPr>
          <w:sz w:val="20"/>
          <w:szCs w:val="20"/>
        </w:rPr>
        <w:t>Enterobacterales</w:t>
      </w:r>
      <w:proofErr w:type="spellEnd"/>
      <w:r w:rsidRPr="003E535D">
        <w:rPr>
          <w:sz w:val="20"/>
          <w:szCs w:val="20"/>
        </w:rPr>
        <w:t xml:space="preserve"> and </w:t>
      </w:r>
      <w:proofErr w:type="spellStart"/>
      <w:r w:rsidRPr="003E535D">
        <w:rPr>
          <w:sz w:val="20"/>
          <w:szCs w:val="20"/>
        </w:rPr>
        <w:t>Bacteroidales</w:t>
      </w:r>
      <w:proofErr w:type="spellEnd"/>
      <w:r w:rsidRPr="003E535D">
        <w:rPr>
          <w:sz w:val="20"/>
          <w:szCs w:val="20"/>
        </w:rPr>
        <w:t xml:space="preserve">, with additional contributions from </w:t>
      </w:r>
      <w:proofErr w:type="spellStart"/>
      <w:r w:rsidRPr="003E535D">
        <w:rPr>
          <w:sz w:val="20"/>
          <w:szCs w:val="20"/>
        </w:rPr>
        <w:t>Lactobacillales</w:t>
      </w:r>
      <w:proofErr w:type="spellEnd"/>
      <w:r w:rsidRPr="003E535D">
        <w:rPr>
          <w:sz w:val="20"/>
          <w:szCs w:val="20"/>
        </w:rPr>
        <w:t xml:space="preserve">, </w:t>
      </w:r>
      <w:proofErr w:type="spellStart"/>
      <w:r w:rsidRPr="003E535D">
        <w:rPr>
          <w:sz w:val="20"/>
          <w:szCs w:val="20"/>
        </w:rPr>
        <w:t>Burkholderiales</w:t>
      </w:r>
      <w:proofErr w:type="spellEnd"/>
      <w:r w:rsidRPr="003E535D">
        <w:rPr>
          <w:sz w:val="20"/>
          <w:szCs w:val="20"/>
        </w:rPr>
        <w:t>, and several lower‑abundance taxa. Used flour samples showed modest compositional shifts relative to fresh flour, suggesting that beetle activity and microbial growth during rearing altered the environmental microbial community.</w:t>
      </w:r>
    </w:p>
    <w:p w14:paraId="3DB36BED" w14:textId="77777777" w:rsidR="004665E1" w:rsidRPr="003E535D" w:rsidRDefault="004665E1" w:rsidP="004665E1">
      <w:pPr>
        <w:spacing w:before="240" w:after="240"/>
        <w:rPr>
          <w:sz w:val="20"/>
          <w:szCs w:val="20"/>
        </w:rPr>
      </w:pPr>
      <w:r w:rsidRPr="003E535D">
        <w:rPr>
          <w:sz w:val="20"/>
          <w:szCs w:val="20"/>
        </w:rPr>
        <w:t xml:space="preserve">Comparison of these flour‑associated assemblages with gut microbiomes revealed that only a subset of environmentally available taxa became dominant within the host. Several common flour taxa remained rare or </w:t>
      </w:r>
      <w:r w:rsidRPr="003E535D">
        <w:rPr>
          <w:sz w:val="20"/>
          <w:szCs w:val="20"/>
        </w:rPr>
        <w:lastRenderedPageBreak/>
        <w:t>undetected in the gut, whereas others increased strongly in relative abundance, indicating that environmental exposure is subsequently filtered by host‑associated processes during microbiome assembly.</w:t>
      </w:r>
    </w:p>
    <w:p w14:paraId="27404242" w14:textId="77777777" w:rsidR="004665E1" w:rsidRPr="003E535D" w:rsidRDefault="004665E1" w:rsidP="004665E1">
      <w:pPr>
        <w:spacing w:before="240" w:after="240"/>
        <w:rPr>
          <w:b/>
          <w:bCs/>
          <w:sz w:val="20"/>
          <w:szCs w:val="20"/>
        </w:rPr>
      </w:pPr>
      <w:r w:rsidRPr="003E535D">
        <w:rPr>
          <w:b/>
          <w:bCs/>
          <w:sz w:val="20"/>
          <w:szCs w:val="20"/>
        </w:rPr>
        <w:t>Supplementary Results S2. Generational and dietary effects on beta diversity</w:t>
      </w:r>
    </w:p>
    <w:p w14:paraId="673AABAD" w14:textId="77777777" w:rsidR="004665E1" w:rsidRPr="003E535D" w:rsidRDefault="004665E1" w:rsidP="004665E1">
      <w:pPr>
        <w:spacing w:before="240" w:after="240"/>
        <w:rPr>
          <w:sz w:val="20"/>
          <w:szCs w:val="20"/>
        </w:rPr>
      </w:pPr>
      <w:r w:rsidRPr="003E535D">
        <w:rPr>
          <w:sz w:val="20"/>
          <w:szCs w:val="20"/>
        </w:rPr>
        <w:t>To quantify differences in gut microbial community composition across generations and treatments, we examined beta diversity using Bray–Curtis dissimilarities and principal coordinates analysis (</w:t>
      </w:r>
      <w:proofErr w:type="spellStart"/>
      <w:r w:rsidRPr="003E535D">
        <w:rPr>
          <w:sz w:val="20"/>
          <w:szCs w:val="20"/>
        </w:rPr>
        <w:t>PCoA</w:t>
      </w:r>
      <w:proofErr w:type="spellEnd"/>
      <w:r w:rsidRPr="003E535D">
        <w:rPr>
          <w:sz w:val="20"/>
          <w:szCs w:val="20"/>
        </w:rPr>
        <w:t>). Ordination revealed a clear separation between the commercial stock (G0) and laboratory‑reared generations, indicating a major restructuring of community composition associated with the transition to laboratory conditions. Following this transition, samples from G1–G3 clustered more closely with one another than with G0, suggesting partial convergence of microbial communities after laboratory adaptation.</w:t>
      </w:r>
    </w:p>
    <w:p w14:paraId="50D8F38C" w14:textId="77777777" w:rsidR="004665E1" w:rsidRPr="003E535D" w:rsidRDefault="004665E1" w:rsidP="004665E1">
      <w:pPr>
        <w:spacing w:before="240" w:after="240"/>
        <w:rPr>
          <w:sz w:val="20"/>
          <w:szCs w:val="20"/>
        </w:rPr>
      </w:pPr>
      <w:r w:rsidRPr="003E535D">
        <w:rPr>
          <w:sz w:val="20"/>
          <w:szCs w:val="20"/>
        </w:rPr>
        <w:t>PERMANOVA on Bray–Curtis dissimilarities confirmed that generation was the dominant driver of community composition (Generation: R² = 0.227, F = 5.77, p = 0.001), whereas dietary treatment explained a smaller but significant fraction of the variance (Treatment: R² = 0.055, F = 1.40, p = 0.045). The interaction between generation and treatment was not significant (Generation × Treatment: R² = 0.139, F = 1.17, p = 0.078), indicating that dietary effects were relatively consistent across generations. Thus, generation explained roughly four times more variance in community composition than diet (22.7% vs. 5.5%).</w:t>
      </w:r>
    </w:p>
    <w:p w14:paraId="2E042AAF" w14:textId="77777777" w:rsidR="004665E1" w:rsidRPr="003E535D" w:rsidRDefault="004665E1" w:rsidP="004665E1">
      <w:pPr>
        <w:spacing w:before="240" w:after="240"/>
        <w:rPr>
          <w:sz w:val="20"/>
          <w:szCs w:val="20"/>
        </w:rPr>
      </w:pPr>
      <w:r w:rsidRPr="003E535D">
        <w:rPr>
          <w:sz w:val="20"/>
          <w:szCs w:val="20"/>
        </w:rPr>
        <w:t>Analyses of multivariate dispersion further revealed significant differences in community variability among generations (</w:t>
      </w:r>
      <w:proofErr w:type="spellStart"/>
      <w:r w:rsidRPr="003E535D">
        <w:rPr>
          <w:sz w:val="20"/>
          <w:szCs w:val="20"/>
        </w:rPr>
        <w:t>betadisper</w:t>
      </w:r>
      <w:proofErr w:type="spellEnd"/>
      <w:r w:rsidRPr="003E535D">
        <w:rPr>
          <w:sz w:val="20"/>
          <w:szCs w:val="20"/>
        </w:rPr>
        <w:t>: F = 7.47, p = 0.002). Pairwise comparisons showed that dispersion was significantly higher in the commercial stock generation (G0) than in all laboratory‑reared generations (G0–G1 p = 0.005; G0–G2 p = 0.010; G0–G3 p = 0.006), whereas no significant differences were detected among G1–G3. These results indicate that microbial communities were more heterogeneous prior to laboratory adaptation and became more structurally constrained in subsequent generations.</w:t>
      </w:r>
    </w:p>
    <w:p w14:paraId="70E659D5" w14:textId="77777777" w:rsidR="004665E1" w:rsidRPr="003E535D" w:rsidRDefault="004665E1" w:rsidP="004665E1">
      <w:pPr>
        <w:spacing w:before="240" w:after="240"/>
        <w:rPr>
          <w:sz w:val="20"/>
          <w:szCs w:val="20"/>
        </w:rPr>
      </w:pPr>
      <w:r w:rsidRPr="003E535D">
        <w:rPr>
          <w:sz w:val="20"/>
          <w:szCs w:val="20"/>
        </w:rPr>
        <w:t>To quantify reliability more explicitly, we examined among‑lineage variation in community composition within each generation and treatment. Within‑group Bray–Curtis dispersion was highest during the G0–G1 transition and generally lower in later generations, indicating increasing structural stabilization over time. However, dispersion remained clearly non‑zero at G3, suggesting persistent differences among replicate lineages rather than convergence on a single community state. Together with the generation‑specific centroids observed in ordination space, these patterns indicate that microbial communities recovered from the initial disturbance but did not converge on a single predictable endpoint.</w:t>
      </w:r>
    </w:p>
    <w:p w14:paraId="50112D8C" w14:textId="77777777" w:rsidR="004665E1" w:rsidRPr="003E535D" w:rsidRDefault="004665E1" w:rsidP="004665E1">
      <w:pPr>
        <w:spacing w:before="240" w:after="240"/>
        <w:rPr>
          <w:sz w:val="20"/>
          <w:szCs w:val="20"/>
        </w:rPr>
      </w:pPr>
      <w:r w:rsidRPr="003E535D">
        <w:rPr>
          <w:b/>
          <w:bCs/>
          <w:sz w:val="20"/>
          <w:szCs w:val="20"/>
        </w:rPr>
        <w:t>Supplementary Results S3. Dietary effects on specific bacterial taxa</w:t>
      </w:r>
    </w:p>
    <w:p w14:paraId="3E0D46BA" w14:textId="77777777" w:rsidR="004665E1" w:rsidRPr="003E535D" w:rsidRDefault="004665E1" w:rsidP="004665E1">
      <w:pPr>
        <w:spacing w:before="240" w:after="240"/>
        <w:rPr>
          <w:sz w:val="20"/>
          <w:szCs w:val="20"/>
        </w:rPr>
      </w:pPr>
      <w:r w:rsidRPr="003E535D">
        <w:rPr>
          <w:sz w:val="20"/>
          <w:szCs w:val="20"/>
        </w:rPr>
        <w:t>To assess whether dietary treatments influenced finer‑scale taxonomic patterns within the gut microbiome, we performed differential abundance analyses at the order level across treatments and generations using DESeq2 with false discovery rate control (FDR &lt; 0.05). Several bacterial orders showed consistent enrichment or depletion across dietary treatments. In particular, differences were observed between beetles reared on whole‑wheat versus oat flour, with some orders showing higher relative abundance in one diet compared to the other across multiple generations. These diet‑associated changes were most apparent after the initial transition to laboratory rearing and persisted into later generations, indicating that dietary composition modulated aspects of the gut microbiome once communities had stabilized within the laboratory environment.</w:t>
      </w:r>
    </w:p>
    <w:p w14:paraId="1E5F1282" w14:textId="77777777" w:rsidR="004665E1" w:rsidRPr="003E535D" w:rsidRDefault="004665E1" w:rsidP="004665E1">
      <w:pPr>
        <w:spacing w:before="240" w:after="240"/>
        <w:rPr>
          <w:sz w:val="20"/>
          <w:szCs w:val="20"/>
        </w:rPr>
      </w:pPr>
      <w:r w:rsidRPr="003E535D">
        <w:rPr>
          <w:sz w:val="20"/>
          <w:szCs w:val="20"/>
        </w:rPr>
        <w:t>Dietary effects were largely restricted to specific taxa rather than broad community restructuring. Differentially abundant orders generally represented a subset of the overall microbiome and did not drive clear separation among treatments in Bray–Curtis ordinations, consistent with diet influencing particular bacterial groups without altering community‑wide structure. Although diet explained a smaller fraction of community‑level variation than generational effects, we observed consistent diet‑associated shifts in specific bacterial orders across generations. These taxonomic responses may have implications for digestion, nutrient acquisition, or detoxification under different grain types, but we did not measure host performance or microbial function, so such links remain hypotheses for future work.</w:t>
      </w:r>
    </w:p>
    <w:p w14:paraId="4055BCE6" w14:textId="77777777" w:rsidR="004665E1" w:rsidRPr="003E535D" w:rsidRDefault="004665E1" w:rsidP="004665E1">
      <w:pPr>
        <w:spacing w:before="240" w:after="240"/>
        <w:rPr>
          <w:sz w:val="20"/>
          <w:szCs w:val="20"/>
        </w:rPr>
      </w:pPr>
      <w:r w:rsidRPr="003E535D">
        <w:rPr>
          <w:b/>
          <w:bCs/>
          <w:sz w:val="20"/>
          <w:szCs w:val="20"/>
        </w:rPr>
        <w:t>Supplementary Results S4. Alpha diversity statistics</w:t>
      </w:r>
    </w:p>
    <w:p w14:paraId="343C9BD2" w14:textId="77777777" w:rsidR="004665E1" w:rsidRPr="003E535D" w:rsidRDefault="004665E1" w:rsidP="004665E1">
      <w:pPr>
        <w:spacing w:before="240" w:after="240"/>
        <w:rPr>
          <w:sz w:val="20"/>
          <w:szCs w:val="20"/>
        </w:rPr>
      </w:pPr>
      <w:r w:rsidRPr="003E535D">
        <w:rPr>
          <w:sz w:val="20"/>
          <w:szCs w:val="20"/>
        </w:rPr>
        <w:lastRenderedPageBreak/>
        <w:t xml:space="preserve">We quantified alpha diversity responses to environmental and dietary perturbations using observed ASV richness and Shannon diversity for each treatment line from G0 to G3. Generation effects on Shannon diversity were significant in all treatments (Kruskal–Wallis: </w:t>
      </w:r>
      <w:proofErr w:type="spellStart"/>
      <w:r w:rsidRPr="003E535D">
        <w:rPr>
          <w:sz w:val="20"/>
          <w:szCs w:val="20"/>
        </w:rPr>
        <w:t>ControlA</w:t>
      </w:r>
      <w:proofErr w:type="spellEnd"/>
      <w:r w:rsidRPr="003E535D">
        <w:rPr>
          <w:sz w:val="20"/>
          <w:szCs w:val="20"/>
        </w:rPr>
        <w:t xml:space="preserve">, p = 0.00583; </w:t>
      </w:r>
      <w:proofErr w:type="spellStart"/>
      <w:r w:rsidRPr="003E535D">
        <w:rPr>
          <w:sz w:val="20"/>
          <w:szCs w:val="20"/>
        </w:rPr>
        <w:t>ExpA</w:t>
      </w:r>
      <w:proofErr w:type="spellEnd"/>
      <w:r w:rsidRPr="003E535D">
        <w:rPr>
          <w:sz w:val="20"/>
          <w:szCs w:val="20"/>
        </w:rPr>
        <w:t xml:space="preserve">, p = 0.00756; </w:t>
      </w:r>
      <w:proofErr w:type="spellStart"/>
      <w:r w:rsidRPr="003E535D">
        <w:rPr>
          <w:sz w:val="20"/>
          <w:szCs w:val="20"/>
        </w:rPr>
        <w:t>ControlB</w:t>
      </w:r>
      <w:proofErr w:type="spellEnd"/>
      <w:r w:rsidRPr="003E535D">
        <w:rPr>
          <w:sz w:val="20"/>
          <w:szCs w:val="20"/>
        </w:rPr>
        <w:t xml:space="preserve">, p = 0.00700; </w:t>
      </w:r>
      <w:proofErr w:type="spellStart"/>
      <w:r w:rsidRPr="003E535D">
        <w:rPr>
          <w:sz w:val="20"/>
          <w:szCs w:val="20"/>
        </w:rPr>
        <w:t>ExpB</w:t>
      </w:r>
      <w:proofErr w:type="spellEnd"/>
      <w:r w:rsidRPr="003E535D">
        <w:rPr>
          <w:sz w:val="20"/>
          <w:szCs w:val="20"/>
        </w:rPr>
        <w:t xml:space="preserve">, p = 0.00502), and observed richness differed significantly among generations in </w:t>
      </w:r>
      <w:proofErr w:type="spellStart"/>
      <w:r w:rsidRPr="003E535D">
        <w:rPr>
          <w:sz w:val="20"/>
          <w:szCs w:val="20"/>
        </w:rPr>
        <w:t>ExpA</w:t>
      </w:r>
      <w:proofErr w:type="spellEnd"/>
      <w:r w:rsidRPr="003E535D">
        <w:rPr>
          <w:sz w:val="20"/>
          <w:szCs w:val="20"/>
        </w:rPr>
        <w:t xml:space="preserve"> (p = 0.00928), </w:t>
      </w:r>
      <w:proofErr w:type="spellStart"/>
      <w:r w:rsidRPr="003E535D">
        <w:rPr>
          <w:sz w:val="20"/>
          <w:szCs w:val="20"/>
        </w:rPr>
        <w:t>ControlB</w:t>
      </w:r>
      <w:proofErr w:type="spellEnd"/>
      <w:r w:rsidRPr="003E535D">
        <w:rPr>
          <w:sz w:val="20"/>
          <w:szCs w:val="20"/>
        </w:rPr>
        <w:t xml:space="preserve"> (p = 0.0254), and </w:t>
      </w:r>
      <w:proofErr w:type="spellStart"/>
      <w:r w:rsidRPr="003E535D">
        <w:rPr>
          <w:sz w:val="20"/>
          <w:szCs w:val="20"/>
        </w:rPr>
        <w:t>ExpB</w:t>
      </w:r>
      <w:proofErr w:type="spellEnd"/>
      <w:r w:rsidRPr="003E535D">
        <w:rPr>
          <w:sz w:val="20"/>
          <w:szCs w:val="20"/>
        </w:rPr>
        <w:t xml:space="preserve"> (p = 0.0209), but not in </w:t>
      </w:r>
      <w:proofErr w:type="spellStart"/>
      <w:r w:rsidRPr="003E535D">
        <w:rPr>
          <w:sz w:val="20"/>
          <w:szCs w:val="20"/>
        </w:rPr>
        <w:t>ControlA</w:t>
      </w:r>
      <w:proofErr w:type="spellEnd"/>
      <w:r w:rsidRPr="003E535D">
        <w:rPr>
          <w:sz w:val="20"/>
          <w:szCs w:val="20"/>
        </w:rPr>
        <w:t xml:space="preserve"> (p = 0.402). Post hoc contrasts showed that the largest changes in both metrics occurred between G0 and G1, with smaller differences among G1–G3, consistent with a strong initial disturbance followed by stabilization. Treatment‑specific trajectories and non‑identical G3 endpoints support the conclusion that alpha diversity recovered and stabilized (resilience) without converging on a single invariant state (limited reliability).</w:t>
      </w:r>
    </w:p>
    <w:p w14:paraId="42F8741E"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5E1"/>
    <w:rsid w:val="00066677"/>
    <w:rsid w:val="003A4E89"/>
    <w:rsid w:val="004665E1"/>
    <w:rsid w:val="00556784"/>
    <w:rsid w:val="008B07A6"/>
    <w:rsid w:val="00987B63"/>
    <w:rsid w:val="00A96044"/>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0BE34"/>
  <w15:chartTrackingRefBased/>
  <w15:docId w15:val="{991B2655-F19B-40DA-88CD-C97062C6B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5E1"/>
    <w:pPr>
      <w:spacing w:after="0" w:line="240" w:lineRule="auto"/>
    </w:pPr>
    <w:rPr>
      <w:rFonts w:ascii="Times New Roman" w:eastAsia="Times New Roman" w:hAnsi="Times New Roman" w:cs="Times New Roman"/>
      <w:kern w:val="0"/>
      <w:lang w:val="en" w:eastAsia="ja-JP"/>
      <w14:ligatures w14:val="none"/>
    </w:rPr>
  </w:style>
  <w:style w:type="paragraph" w:styleId="Heading1">
    <w:name w:val="heading 1"/>
    <w:basedOn w:val="Normal"/>
    <w:next w:val="Normal"/>
    <w:link w:val="Heading1Char"/>
    <w:uiPriority w:val="9"/>
    <w:qFormat/>
    <w:rsid w:val="004665E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4665E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4665E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4665E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4665E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4665E1"/>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4665E1"/>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4665E1"/>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4665E1"/>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65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65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65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65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65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65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65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65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65E1"/>
    <w:rPr>
      <w:rFonts w:eastAsiaTheme="majorEastAsia" w:cstheme="majorBidi"/>
      <w:color w:val="272727" w:themeColor="text1" w:themeTint="D8"/>
    </w:rPr>
  </w:style>
  <w:style w:type="paragraph" w:styleId="Title">
    <w:name w:val="Title"/>
    <w:basedOn w:val="Normal"/>
    <w:next w:val="Normal"/>
    <w:link w:val="TitleChar"/>
    <w:uiPriority w:val="10"/>
    <w:qFormat/>
    <w:rsid w:val="004665E1"/>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4665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65E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4665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65E1"/>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4665E1"/>
    <w:rPr>
      <w:i/>
      <w:iCs/>
      <w:color w:val="404040" w:themeColor="text1" w:themeTint="BF"/>
    </w:rPr>
  </w:style>
  <w:style w:type="paragraph" w:styleId="ListParagraph">
    <w:name w:val="List Paragraph"/>
    <w:basedOn w:val="Normal"/>
    <w:uiPriority w:val="34"/>
    <w:qFormat/>
    <w:rsid w:val="004665E1"/>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4665E1"/>
    <w:rPr>
      <w:i/>
      <w:iCs/>
      <w:color w:val="0F4761" w:themeColor="accent1" w:themeShade="BF"/>
    </w:rPr>
  </w:style>
  <w:style w:type="paragraph" w:styleId="IntenseQuote">
    <w:name w:val="Intense Quote"/>
    <w:basedOn w:val="Normal"/>
    <w:next w:val="Normal"/>
    <w:link w:val="IntenseQuoteChar"/>
    <w:uiPriority w:val="30"/>
    <w:qFormat/>
    <w:rsid w:val="004665E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4665E1"/>
    <w:rPr>
      <w:i/>
      <w:iCs/>
      <w:color w:val="0F4761" w:themeColor="accent1" w:themeShade="BF"/>
    </w:rPr>
  </w:style>
  <w:style w:type="character" w:styleId="IntenseReference">
    <w:name w:val="Intense Reference"/>
    <w:basedOn w:val="DefaultParagraphFont"/>
    <w:uiPriority w:val="32"/>
    <w:qFormat/>
    <w:rsid w:val="004665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1357</Words>
  <Characters>8971</Characters>
  <Application>Microsoft Office Word</Application>
  <DocSecurity>0</DocSecurity>
  <Lines>110</Lines>
  <Paragraphs>30</Paragraphs>
  <ScaleCrop>false</ScaleCrop>
  <Company/>
  <LinksUpToDate>false</LinksUpToDate>
  <CharactersWithSpaces>10298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2026-04-01T18:49:00Z</dcterms:created>
  <dcterms:modified xsi:type="dcterms:W3CDTF">2026-04-01T18:49:00Z</dcterms:modified>
</cp:coreProperties>
</file>