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1D3B56">
      <w:pPr>
        <w:rPr>
          <w:rFonts w:ascii="Times New Roman" w:hAnsi="Times New Roman" w:cs="Times New Roman"/>
          <w:b/>
          <w:sz w:val="30"/>
          <w:szCs w:val="30"/>
        </w:rPr>
      </w:pPr>
      <w:r>
        <w:rPr>
          <w:rFonts w:ascii="Times New Roman" w:hAnsi="Times New Roman" w:cs="Times New Roman"/>
          <w:b/>
          <w:sz w:val="30"/>
          <w:szCs w:val="30"/>
        </w:rPr>
        <w:t xml:space="preserve">Multimodal Feature Fusion for Molecular Property Classification </w:t>
      </w:r>
    </w:p>
    <w:p w14:paraId="0E7A3620">
      <w:pPr>
        <w:spacing w:line="360" w:lineRule="auto"/>
        <w:rPr>
          <w:rFonts w:ascii="Times New Roman" w:hAnsi="Times New Roman" w:cs="Times New Roman"/>
          <w:sz w:val="24"/>
          <w:szCs w:val="24"/>
        </w:rPr>
      </w:pPr>
      <w:r>
        <w:rPr>
          <w:rFonts w:ascii="Times New Roman" w:hAnsi="Times New Roman" w:cs="Times New Roman"/>
          <w:sz w:val="24"/>
          <w:szCs w:val="24"/>
        </w:rPr>
        <w:t>Jing Liu</w:t>
      </w:r>
      <w:r>
        <w:rPr>
          <w:rFonts w:hint="eastAsia" w:ascii="Times New Roman" w:hAnsi="Times New Roman" w:cs="Times New Roman"/>
          <w:sz w:val="24"/>
          <w:szCs w:val="24"/>
          <w:vertAlign w:val="superscript"/>
          <w:lang w:val="en-US" w:eastAsia="zh-CN"/>
        </w:rPr>
        <w:t>1</w:t>
      </w:r>
      <w:r>
        <w:rPr>
          <w:rFonts w:ascii="Times New Roman" w:hAnsi="Times New Roman" w:cs="Times New Roman"/>
          <w:sz w:val="24"/>
          <w:szCs w:val="24"/>
          <w:vertAlign w:val="superscript"/>
        </w:rPr>
        <w:t>, #</w:t>
      </w:r>
      <w:r>
        <w:rPr>
          <w:rFonts w:ascii="Times New Roman" w:hAnsi="Times New Roman" w:cs="Times New Roman"/>
          <w:sz w:val="24"/>
          <w:szCs w:val="24"/>
        </w:rPr>
        <w:t>, Yin Wang</w:t>
      </w:r>
      <w:r>
        <w:rPr>
          <w:rFonts w:hint="eastAsia" w:ascii="Times New Roman" w:hAnsi="Times New Roman" w:cs="Times New Roman"/>
          <w:sz w:val="24"/>
          <w:szCs w:val="24"/>
          <w:vertAlign w:val="superscript"/>
          <w:lang w:val="en-US" w:eastAsia="zh-CN"/>
        </w:rPr>
        <w:t>1</w:t>
      </w:r>
      <w:r>
        <w:rPr>
          <w:rFonts w:ascii="Times New Roman" w:hAnsi="Times New Roman" w:cs="Times New Roman"/>
          <w:sz w:val="24"/>
          <w:szCs w:val="24"/>
          <w:vertAlign w:val="superscript"/>
        </w:rPr>
        <w:t>, #</w:t>
      </w:r>
      <w:r>
        <w:rPr>
          <w:rFonts w:ascii="Times New Roman" w:hAnsi="Times New Roman" w:cs="Times New Roman"/>
          <w:sz w:val="24"/>
          <w:szCs w:val="24"/>
        </w:rPr>
        <w:t>, Li Xue</w:t>
      </w:r>
      <w:r>
        <w:rPr>
          <w:rFonts w:hint="eastAsia" w:ascii="Times New Roman" w:hAnsi="Times New Roman" w:cs="Times New Roman"/>
          <w:sz w:val="24"/>
          <w:szCs w:val="24"/>
          <w:vertAlign w:val="superscript"/>
          <w:lang w:val="en-US" w:eastAsia="zh-CN"/>
        </w:rPr>
        <w:t>2</w:t>
      </w:r>
      <w:r>
        <w:rPr>
          <w:rFonts w:ascii="Times New Roman" w:hAnsi="Times New Roman" w:cs="Times New Roman"/>
          <w:sz w:val="24"/>
          <w:szCs w:val="24"/>
        </w:rPr>
        <w:t>, Qiaorong Wu</w:t>
      </w:r>
      <w:r>
        <w:rPr>
          <w:rFonts w:hint="eastAsia" w:ascii="Times New Roman" w:hAnsi="Times New Roman" w:cs="Times New Roman"/>
          <w:sz w:val="24"/>
          <w:szCs w:val="24"/>
          <w:vertAlign w:val="superscript"/>
          <w:lang w:val="en-US" w:eastAsia="zh-CN"/>
        </w:rPr>
        <w:t>1</w:t>
      </w:r>
      <w:r>
        <w:rPr>
          <w:rFonts w:ascii="Times New Roman" w:hAnsi="Times New Roman" w:cs="Times New Roman"/>
          <w:sz w:val="24"/>
          <w:szCs w:val="24"/>
        </w:rPr>
        <w:t>, Wenwei Tao</w:t>
      </w:r>
      <w:r>
        <w:rPr>
          <w:rFonts w:hint="eastAsia" w:ascii="Times New Roman" w:hAnsi="Times New Roman" w:cs="Times New Roman"/>
          <w:sz w:val="24"/>
          <w:szCs w:val="24"/>
          <w:vertAlign w:val="superscript"/>
          <w:lang w:val="en-US" w:eastAsia="zh-CN"/>
        </w:rPr>
        <w:t>1</w:t>
      </w:r>
      <w:r>
        <w:rPr>
          <w:rFonts w:ascii="Times New Roman" w:hAnsi="Times New Roman" w:cs="Times New Roman"/>
          <w:sz w:val="24"/>
          <w:szCs w:val="24"/>
        </w:rPr>
        <w:t>, Yiwei Wang</w:t>
      </w:r>
      <w:r>
        <w:rPr>
          <w:rFonts w:hint="eastAsia" w:ascii="Times New Roman" w:hAnsi="Times New Roman" w:cs="Times New Roman"/>
          <w:sz w:val="24"/>
          <w:szCs w:val="24"/>
          <w:vertAlign w:val="superscript"/>
          <w:lang w:val="en-US" w:eastAsia="zh-CN"/>
        </w:rPr>
        <w:t>3</w:t>
      </w:r>
      <w:r>
        <w:rPr>
          <w:rFonts w:ascii="Times New Roman" w:hAnsi="Times New Roman" w:cs="Times New Roman"/>
          <w:sz w:val="24"/>
          <w:szCs w:val="24"/>
          <w:vertAlign w:val="superscript"/>
        </w:rPr>
        <w:t>,*</w:t>
      </w:r>
      <w:r>
        <w:rPr>
          <w:rFonts w:ascii="Times New Roman" w:hAnsi="Times New Roman" w:cs="Times New Roman"/>
          <w:sz w:val="24"/>
          <w:szCs w:val="24"/>
        </w:rPr>
        <w:t>, Jianming Wu</w:t>
      </w:r>
      <w:r>
        <w:rPr>
          <w:rFonts w:ascii="Times New Roman" w:hAnsi="Times New Roman" w:cs="Times New Roman"/>
          <w:sz w:val="24"/>
          <w:szCs w:val="24"/>
          <w:vertAlign w:val="superscript"/>
        </w:rPr>
        <w:t xml:space="preserve"> </w:t>
      </w:r>
      <w:r>
        <w:rPr>
          <w:rFonts w:hint="eastAsia" w:ascii="Times New Roman" w:hAnsi="Times New Roman" w:cs="Times New Roman"/>
          <w:sz w:val="24"/>
          <w:szCs w:val="24"/>
          <w:vertAlign w:val="superscript"/>
          <w:lang w:val="en-US" w:eastAsia="zh-CN"/>
        </w:rPr>
        <w:t>3</w:t>
      </w:r>
      <w:r>
        <w:rPr>
          <w:rFonts w:ascii="Times New Roman" w:hAnsi="Times New Roman" w:cs="Times New Roman"/>
          <w:sz w:val="24"/>
          <w:szCs w:val="24"/>
          <w:vertAlign w:val="superscript"/>
        </w:rPr>
        <w:t>, *</w:t>
      </w:r>
      <w:r>
        <w:rPr>
          <w:rFonts w:ascii="Times New Roman" w:hAnsi="Times New Roman" w:cs="Times New Roman"/>
          <w:sz w:val="24"/>
          <w:szCs w:val="24"/>
        </w:rPr>
        <w:t>, Jiesi Luo</w:t>
      </w:r>
      <w:r>
        <w:rPr>
          <w:rFonts w:hint="eastAsia" w:ascii="Times New Roman" w:hAnsi="Times New Roman" w:cs="Times New Roman"/>
          <w:sz w:val="24"/>
          <w:szCs w:val="24"/>
          <w:vertAlign w:val="superscript"/>
          <w:lang w:val="en-US" w:eastAsia="zh-CN"/>
        </w:rPr>
        <w:t>3</w:t>
      </w:r>
      <w:r>
        <w:rPr>
          <w:rFonts w:ascii="Times New Roman" w:hAnsi="Times New Roman" w:cs="Times New Roman"/>
          <w:sz w:val="24"/>
          <w:szCs w:val="24"/>
          <w:vertAlign w:val="superscript"/>
        </w:rPr>
        <w:t>, *</w:t>
      </w:r>
      <w:r>
        <w:rPr>
          <w:rFonts w:ascii="Times New Roman" w:hAnsi="Times New Roman" w:cs="Times New Roman"/>
          <w:sz w:val="24"/>
          <w:szCs w:val="24"/>
        </w:rPr>
        <w:t xml:space="preserve"> </w:t>
      </w:r>
    </w:p>
    <w:p w14:paraId="017B21FA">
      <w:pPr>
        <w:spacing w:line="360" w:lineRule="auto"/>
        <w:rPr>
          <w:rFonts w:ascii="Times New Roman" w:hAnsi="Times New Roman" w:cs="Times New Roman"/>
          <w:sz w:val="24"/>
          <w:szCs w:val="24"/>
        </w:rPr>
      </w:pPr>
      <w:r>
        <w:rPr>
          <w:rFonts w:hint="eastAsia" w:ascii="Times New Roman" w:hAnsi="Times New Roman" w:cs="Times New Roman"/>
          <w:sz w:val="24"/>
          <w:szCs w:val="24"/>
          <w:vertAlign w:val="superscript"/>
          <w:lang w:val="en-US" w:eastAsia="zh-CN"/>
        </w:rPr>
        <w:t>1</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Institute of Cardiovascular </w:t>
      </w:r>
      <w:r>
        <w:rPr>
          <w:rFonts w:ascii="Times New Roman" w:hAnsi="Times New Roman" w:cs="Times New Roman"/>
          <w:bCs/>
          <w:sz w:val="24"/>
          <w:szCs w:val="24"/>
        </w:rPr>
        <w:t>Medicine</w:t>
      </w:r>
      <w:r>
        <w:rPr>
          <w:rFonts w:ascii="Times New Roman" w:hAnsi="Times New Roman" w:cs="Times New Roman"/>
          <w:sz w:val="24"/>
          <w:szCs w:val="24"/>
        </w:rPr>
        <w:t xml:space="preserve"> Research, Southwest Medical University, Luzhou, 646000, Sichuan, China</w:t>
      </w:r>
    </w:p>
    <w:p w14:paraId="6BD317B5">
      <w:pPr>
        <w:spacing w:line="360" w:lineRule="auto"/>
        <w:rPr>
          <w:rFonts w:ascii="Times New Roman" w:hAnsi="Times New Roman" w:cs="Times New Roman"/>
          <w:sz w:val="24"/>
          <w:szCs w:val="24"/>
        </w:rPr>
      </w:pPr>
      <w:r>
        <w:rPr>
          <w:rFonts w:hint="eastAsia" w:ascii="Times New Roman" w:hAnsi="Times New Roman" w:cs="Times New Roman"/>
          <w:sz w:val="24"/>
          <w:szCs w:val="24"/>
          <w:vertAlign w:val="superscript"/>
          <w:lang w:val="en-US" w:eastAsia="zh-CN"/>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School of Public Health, Southwest Medical University, Luzhou, 646000, China</w:t>
      </w:r>
    </w:p>
    <w:p w14:paraId="1C417B2F">
      <w:pPr>
        <w:spacing w:line="360" w:lineRule="auto"/>
        <w:rPr>
          <w:rStyle w:val="6"/>
          <w:rFonts w:ascii="Segoe UI" w:hAnsi="Segoe UI" w:cs="Segoe UI"/>
          <w:color w:val="404040"/>
          <w:shd w:val="clear" w:color="auto" w:fill="FFFFFF"/>
        </w:rPr>
      </w:pPr>
      <w:r>
        <w:rPr>
          <w:rFonts w:hint="eastAsia" w:ascii="Times New Roman" w:hAnsi="Times New Roman" w:cs="Times New Roman"/>
          <w:sz w:val="24"/>
          <w:szCs w:val="24"/>
          <w:vertAlign w:val="superscript"/>
          <w:lang w:val="en-US" w:eastAsia="zh-CN"/>
        </w:rPr>
        <w:t>3</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Basic Medical Science, Southwest Medical University, Luzhou 646000, Sichuan, China </w:t>
      </w:r>
    </w:p>
    <w:p w14:paraId="171F85D4">
      <w:pPr>
        <w:rPr>
          <w:rFonts w:ascii="Times New Roman" w:hAnsi="Times New Roman" w:cs="Times New Roman"/>
          <w:b/>
          <w:sz w:val="28"/>
          <w:szCs w:val="28"/>
        </w:rPr>
      </w:pPr>
    </w:p>
    <w:p w14:paraId="2F5DE1FF">
      <w:pPr>
        <w:rPr>
          <w:rFonts w:ascii="Times New Roman" w:hAnsi="Times New Roman" w:cs="Times New Roman"/>
          <w:b/>
          <w:sz w:val="28"/>
          <w:szCs w:val="28"/>
        </w:rPr>
      </w:pPr>
    </w:p>
    <w:p w14:paraId="3FB3AE28">
      <w:pPr>
        <w:spacing w:line="480" w:lineRule="auto"/>
        <w:rPr>
          <w:rFonts w:ascii="Times New Roman" w:hAnsi="Times New Roman" w:cs="Times New Roman"/>
          <w:sz w:val="24"/>
          <w:szCs w:val="24"/>
        </w:rPr>
      </w:pPr>
      <w:r>
        <w:rPr>
          <w:rFonts w:ascii="Times New Roman" w:hAnsi="Times New Roman" w:cs="Times New Roman"/>
          <w:sz w:val="24"/>
          <w:szCs w:val="24"/>
        </w:rPr>
        <w:t>* Corresponding author.</w:t>
      </w:r>
    </w:p>
    <w:p w14:paraId="6B2D090C">
      <w:pPr>
        <w:spacing w:line="480" w:lineRule="auto"/>
        <w:rPr>
          <w:rFonts w:ascii="Times New Roman" w:hAnsi="Times New Roman" w:cs="Times New Roman"/>
          <w:sz w:val="24"/>
          <w:szCs w:val="24"/>
        </w:rPr>
      </w:pPr>
      <w:bookmarkStart w:id="0" w:name="_GoBack"/>
      <w:r>
        <w:rPr>
          <w:rFonts w:ascii="Times New Roman" w:hAnsi="Times New Roman" w:cs="Times New Roman"/>
          <w:sz w:val="24"/>
          <w:szCs w:val="24"/>
        </w:rPr>
        <w:t>E-mail address: ljs@swmu.edu.cn (J. Luo)</w:t>
      </w:r>
    </w:p>
    <w:p w14:paraId="39C10D5E">
      <w:pPr>
        <w:spacing w:line="480" w:lineRule="auto"/>
        <w:rPr>
          <w:rFonts w:ascii="Times New Roman" w:hAnsi="Times New Roman" w:cs="Times New Roman"/>
          <w:sz w:val="24"/>
          <w:szCs w:val="24"/>
        </w:rPr>
      </w:pPr>
      <w:r>
        <w:rPr>
          <w:rFonts w:ascii="Times New Roman" w:hAnsi="Times New Roman" w:cs="Times New Roman"/>
          <w:sz w:val="24"/>
          <w:szCs w:val="24"/>
        </w:rPr>
        <w:t xml:space="preserve">             jianmingwu@swmu.edu.cn (J. Wu)</w:t>
      </w:r>
    </w:p>
    <w:p w14:paraId="3E2A9A4D">
      <w:pPr>
        <w:spacing w:line="480" w:lineRule="auto"/>
        <w:rPr>
          <w:rFonts w:hint="eastAsia" w:ascii="Times New Roman" w:hAnsi="Times New Roman" w:cs="Times New Roman"/>
          <w:sz w:val="24"/>
          <w:szCs w:val="24"/>
        </w:rPr>
      </w:pPr>
      <w:r>
        <w:rPr>
          <w:rFonts w:ascii="Times New Roman" w:hAnsi="Times New Roman" w:cs="Times New Roman"/>
          <w:sz w:val="24"/>
          <w:szCs w:val="24"/>
        </w:rPr>
        <w:t xml:space="preserve">             wangyiwei0102@swmu.edu.cn </w:t>
      </w:r>
      <w:r>
        <w:rPr>
          <w:rFonts w:hint="eastAsia" w:ascii="Times New Roman" w:hAnsi="Times New Roman" w:cs="Times New Roman"/>
          <w:sz w:val="24"/>
          <w:szCs w:val="24"/>
        </w:rPr>
        <w:t>(</w:t>
      </w:r>
      <w:r>
        <w:rPr>
          <w:rFonts w:ascii="Times New Roman" w:hAnsi="Times New Roman" w:cs="Times New Roman"/>
          <w:sz w:val="24"/>
          <w:szCs w:val="24"/>
        </w:rPr>
        <w:t>Y. Wang)</w:t>
      </w:r>
    </w:p>
    <w:bookmarkEnd w:id="0"/>
    <w:p w14:paraId="036E5CEF">
      <w:pPr>
        <w:spacing w:line="360" w:lineRule="auto"/>
        <w:rPr>
          <w:rFonts w:ascii="Times New Roman" w:hAnsi="Times New Roman" w:cs="Times New Roman"/>
          <w:sz w:val="24"/>
          <w:szCs w:val="24"/>
        </w:rPr>
      </w:pPr>
    </w:p>
    <w:p w14:paraId="3BEFF1F3">
      <w:pPr>
        <w:spacing w:line="360" w:lineRule="auto"/>
        <w:rPr>
          <w:rFonts w:ascii="Times New Roman" w:hAnsi="Times New Roman" w:cs="Times New Roman"/>
          <w:sz w:val="24"/>
        </w:rPr>
      </w:pPr>
      <w:r>
        <w:rPr>
          <w:rFonts w:ascii="Times New Roman" w:hAnsi="Times New Roman" w:cs="Times New Roman"/>
          <w:sz w:val="24"/>
          <w:vertAlign w:val="superscript"/>
        </w:rPr>
        <w:t xml:space="preserve"># </w:t>
      </w:r>
      <w:r>
        <w:rPr>
          <w:rFonts w:hint="eastAsia" w:ascii="Times New Roman" w:hAnsi="Times New Roman" w:cs="Times New Roman"/>
          <w:sz w:val="24"/>
        </w:rPr>
        <w:t>These authors contributed equally</w:t>
      </w:r>
      <w:r>
        <w:rPr>
          <w:rFonts w:ascii="Times New Roman" w:hAnsi="Times New Roman" w:cs="Times New Roman"/>
          <w:sz w:val="24"/>
        </w:rPr>
        <w:t>.</w:t>
      </w:r>
    </w:p>
    <w:p w14:paraId="17CE8652">
      <w:pPr>
        <w:rPr>
          <w:rFonts w:ascii="Times New Roman" w:hAnsi="Times New Roman" w:cs="Times New Roman"/>
          <w:b/>
          <w:sz w:val="28"/>
          <w:szCs w:val="28"/>
        </w:rPr>
      </w:pPr>
    </w:p>
    <w:p w14:paraId="6903BEBE">
      <w:pPr>
        <w:rPr>
          <w:rFonts w:ascii="Times New Roman" w:hAnsi="Times New Roman" w:cs="Times New Roman"/>
          <w:b/>
          <w:sz w:val="28"/>
          <w:szCs w:val="28"/>
        </w:rPr>
      </w:pPr>
    </w:p>
    <w:p w14:paraId="4FB97FC0">
      <w:pPr>
        <w:rPr>
          <w:rFonts w:ascii="Times New Roman" w:hAnsi="Times New Roman" w:cs="Times New Roman"/>
          <w:b/>
          <w:sz w:val="28"/>
          <w:szCs w:val="28"/>
        </w:rPr>
      </w:pPr>
    </w:p>
    <w:p w14:paraId="1A66C4D7">
      <w:pPr>
        <w:rPr>
          <w:rFonts w:ascii="Times New Roman" w:hAnsi="Times New Roman" w:cs="Times New Roman"/>
          <w:b/>
          <w:sz w:val="28"/>
          <w:szCs w:val="28"/>
        </w:rPr>
      </w:pPr>
    </w:p>
    <w:p w14:paraId="739A28A5">
      <w:pPr>
        <w:rPr>
          <w:rFonts w:ascii="Times New Roman" w:hAnsi="Times New Roman" w:cs="Times New Roman"/>
          <w:b/>
          <w:sz w:val="28"/>
          <w:szCs w:val="28"/>
        </w:rPr>
      </w:pPr>
    </w:p>
    <w:p w14:paraId="7C163926">
      <w:pPr>
        <w:rPr>
          <w:rFonts w:ascii="Times New Roman" w:hAnsi="Times New Roman" w:cs="Times New Roman"/>
          <w:b/>
          <w:sz w:val="28"/>
          <w:szCs w:val="28"/>
        </w:rPr>
      </w:pPr>
    </w:p>
    <w:p w14:paraId="7B9B66B4">
      <w:pPr>
        <w:rPr>
          <w:rFonts w:ascii="Times New Roman" w:hAnsi="Times New Roman" w:cs="Times New Roman"/>
          <w:b/>
          <w:sz w:val="28"/>
          <w:szCs w:val="28"/>
        </w:rPr>
      </w:pPr>
    </w:p>
    <w:p w14:paraId="13C009FE">
      <w:pPr>
        <w:rPr>
          <w:rFonts w:ascii="Times New Roman" w:hAnsi="Times New Roman" w:cs="Times New Roman"/>
          <w:b/>
          <w:sz w:val="28"/>
          <w:szCs w:val="28"/>
        </w:rPr>
      </w:pPr>
    </w:p>
    <w:p w14:paraId="7AED5DB5">
      <w:pPr>
        <w:rPr>
          <w:rFonts w:hint="eastAsia" w:ascii="Times New Roman" w:hAnsi="Times New Roman" w:cs="Times New Roman"/>
          <w:b/>
          <w:sz w:val="24"/>
          <w:szCs w:val="24"/>
        </w:rPr>
      </w:pPr>
    </w:p>
    <w:p w14:paraId="5F9B8265">
      <w:pPr>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274310" cy="263715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5274310" cy="2637155"/>
                    </a:xfrm>
                    <a:prstGeom prst="rect">
                      <a:avLst/>
                    </a:prstGeom>
                  </pic:spPr>
                </pic:pic>
              </a:graphicData>
            </a:graphic>
          </wp:inline>
        </w:drawing>
      </w:r>
    </w:p>
    <w:p w14:paraId="6BE657A5">
      <w:pPr>
        <w:spacing w:line="360" w:lineRule="auto"/>
        <w:rPr>
          <w:rFonts w:ascii="Times New Roman" w:hAnsi="Times New Roman" w:cs="Times New Roman"/>
          <w:b/>
          <w:sz w:val="24"/>
          <w:szCs w:val="24"/>
        </w:rPr>
      </w:pPr>
      <w:r>
        <w:rPr>
          <w:rFonts w:hint="eastAsia" w:ascii="Times New Roman" w:hAnsi="Times New Roman" w:cs="Times New Roman"/>
          <w:b/>
          <w:sz w:val="24"/>
          <w:szCs w:val="24"/>
        </w:rPr>
        <w:t>F</w:t>
      </w:r>
      <w:r>
        <w:rPr>
          <w:rFonts w:ascii="Times New Roman" w:hAnsi="Times New Roman" w:cs="Times New Roman"/>
          <w:b/>
          <w:sz w:val="24"/>
          <w:szCs w:val="24"/>
        </w:rPr>
        <w:t xml:space="preserve">igure S1. </w:t>
      </w:r>
      <w:r>
        <w:rPr>
          <w:rFonts w:ascii="Times New Roman" w:hAnsi="Times New Roman" w:cs="Times New Roman"/>
          <w:sz w:val="24"/>
          <w:szCs w:val="24"/>
        </w:rPr>
        <w:t xml:space="preserve">Comparison of prediction performance among Transformer and FNet architectures with different model depths. Each configuration was evaluated with one and three stacked Transformer layers to assess the effect of network depth on predictive accuracy. </w:t>
      </w:r>
    </w:p>
    <w:p w14:paraId="7EBD57EA">
      <w:pPr>
        <w:rPr>
          <w:rFonts w:ascii="Times New Roman" w:hAnsi="Times New Roman" w:cs="Times New Roman"/>
          <w:b/>
          <w:sz w:val="24"/>
          <w:szCs w:val="24"/>
        </w:rPr>
      </w:pPr>
    </w:p>
    <w:p w14:paraId="40E29954">
      <w:pPr>
        <w:rPr>
          <w:rFonts w:ascii="Times New Roman" w:hAnsi="Times New Roman" w:cs="Times New Roman"/>
          <w:b/>
          <w:sz w:val="24"/>
          <w:szCs w:val="24"/>
        </w:rPr>
      </w:pPr>
    </w:p>
    <w:p w14:paraId="502105F4">
      <w:pPr>
        <w:rPr>
          <w:rFonts w:ascii="Times New Roman" w:hAnsi="Times New Roman" w:cs="Times New Roman"/>
          <w:b/>
          <w:sz w:val="24"/>
          <w:szCs w:val="24"/>
        </w:rPr>
      </w:pPr>
    </w:p>
    <w:p w14:paraId="1DEE44B3">
      <w:pPr>
        <w:rPr>
          <w:rFonts w:ascii="Times New Roman" w:hAnsi="Times New Roman" w:cs="Times New Roman"/>
          <w:b/>
          <w:sz w:val="24"/>
          <w:szCs w:val="24"/>
        </w:rPr>
      </w:pPr>
    </w:p>
    <w:p w14:paraId="58CE3F72">
      <w:pPr>
        <w:rPr>
          <w:rFonts w:ascii="Times New Roman" w:hAnsi="Times New Roman" w:cs="Times New Roman"/>
          <w:b/>
          <w:sz w:val="24"/>
          <w:szCs w:val="24"/>
        </w:rPr>
      </w:pPr>
    </w:p>
    <w:p w14:paraId="7B64EFFF">
      <w:pPr>
        <w:rPr>
          <w:rFonts w:ascii="Times New Roman" w:hAnsi="Times New Roman" w:cs="Times New Roman"/>
          <w:b/>
          <w:sz w:val="24"/>
          <w:szCs w:val="24"/>
        </w:rPr>
      </w:pPr>
    </w:p>
    <w:p w14:paraId="6A5805F1">
      <w:pPr>
        <w:rPr>
          <w:rFonts w:ascii="Times New Roman" w:hAnsi="Times New Roman" w:cs="Times New Roman"/>
          <w:b/>
          <w:sz w:val="24"/>
          <w:szCs w:val="24"/>
        </w:rPr>
      </w:pPr>
    </w:p>
    <w:p w14:paraId="4DE8D594">
      <w:pPr>
        <w:rPr>
          <w:rFonts w:ascii="Times New Roman" w:hAnsi="Times New Roman" w:cs="Times New Roman"/>
          <w:b/>
          <w:sz w:val="24"/>
          <w:szCs w:val="24"/>
        </w:rPr>
      </w:pPr>
    </w:p>
    <w:p w14:paraId="78565F3C">
      <w:pPr>
        <w:rPr>
          <w:rFonts w:ascii="Times New Roman" w:hAnsi="Times New Roman" w:cs="Times New Roman"/>
          <w:b/>
          <w:sz w:val="24"/>
          <w:szCs w:val="24"/>
        </w:rPr>
      </w:pPr>
    </w:p>
    <w:p w14:paraId="24908426">
      <w:pPr>
        <w:rPr>
          <w:rFonts w:ascii="Times New Roman" w:hAnsi="Times New Roman" w:cs="Times New Roman"/>
          <w:b/>
          <w:sz w:val="24"/>
          <w:szCs w:val="24"/>
        </w:rPr>
      </w:pPr>
    </w:p>
    <w:p w14:paraId="572A6950">
      <w:pPr>
        <w:rPr>
          <w:rFonts w:ascii="Times New Roman" w:hAnsi="Times New Roman" w:cs="Times New Roman"/>
          <w:b/>
          <w:sz w:val="24"/>
          <w:szCs w:val="24"/>
        </w:rPr>
      </w:pPr>
    </w:p>
    <w:p w14:paraId="11171528">
      <w:pPr>
        <w:rPr>
          <w:rFonts w:ascii="Times New Roman" w:hAnsi="Times New Roman" w:cs="Times New Roman"/>
          <w:b/>
          <w:sz w:val="24"/>
          <w:szCs w:val="24"/>
        </w:rPr>
      </w:pPr>
    </w:p>
    <w:p w14:paraId="3D935302">
      <w:pPr>
        <w:rPr>
          <w:rFonts w:ascii="Times New Roman" w:hAnsi="Times New Roman" w:cs="Times New Roman"/>
          <w:b/>
          <w:sz w:val="24"/>
          <w:szCs w:val="24"/>
        </w:rPr>
      </w:pPr>
    </w:p>
    <w:p w14:paraId="57E44566">
      <w:pPr>
        <w:rPr>
          <w:rFonts w:ascii="Times New Roman" w:hAnsi="Times New Roman" w:cs="Times New Roman"/>
          <w:b/>
          <w:sz w:val="24"/>
          <w:szCs w:val="24"/>
        </w:rPr>
      </w:pPr>
    </w:p>
    <w:p w14:paraId="6B473371">
      <w:pPr>
        <w:rPr>
          <w:rFonts w:ascii="Times New Roman" w:hAnsi="Times New Roman" w:cs="Times New Roman"/>
          <w:b/>
          <w:sz w:val="24"/>
          <w:szCs w:val="24"/>
        </w:rPr>
      </w:pPr>
    </w:p>
    <w:p w14:paraId="258D6AA4">
      <w:pPr>
        <w:rPr>
          <w:rFonts w:ascii="Times New Roman" w:hAnsi="Times New Roman" w:cs="Times New Roman"/>
          <w:b/>
          <w:sz w:val="24"/>
          <w:szCs w:val="24"/>
        </w:rPr>
      </w:pPr>
    </w:p>
    <w:p w14:paraId="3D40E155">
      <w:pPr>
        <w:rPr>
          <w:rFonts w:ascii="Times New Roman" w:hAnsi="Times New Roman" w:cs="Times New Roman"/>
          <w:b/>
          <w:sz w:val="24"/>
          <w:szCs w:val="24"/>
        </w:rPr>
      </w:pPr>
    </w:p>
    <w:p w14:paraId="7D1145DA">
      <w:pPr>
        <w:rPr>
          <w:rFonts w:ascii="Times New Roman" w:hAnsi="Times New Roman" w:cs="Times New Roman"/>
          <w:b/>
          <w:sz w:val="24"/>
          <w:szCs w:val="24"/>
        </w:rPr>
      </w:pPr>
    </w:p>
    <w:p w14:paraId="1AB1C372">
      <w:pPr>
        <w:rPr>
          <w:rFonts w:ascii="Times New Roman" w:hAnsi="Times New Roman" w:cs="Times New Roman"/>
          <w:b/>
          <w:sz w:val="24"/>
          <w:szCs w:val="24"/>
        </w:rPr>
      </w:pPr>
    </w:p>
    <w:p w14:paraId="30A39AA5">
      <w:pPr>
        <w:rPr>
          <w:rFonts w:ascii="Times New Roman" w:hAnsi="Times New Roman" w:cs="Times New Roman"/>
          <w:b/>
          <w:sz w:val="24"/>
          <w:szCs w:val="24"/>
        </w:rPr>
      </w:pPr>
    </w:p>
    <w:p w14:paraId="0F70888E">
      <w:pPr>
        <w:rPr>
          <w:rFonts w:ascii="Times New Roman" w:hAnsi="Times New Roman" w:cs="Times New Roman"/>
          <w:b/>
          <w:sz w:val="24"/>
          <w:szCs w:val="24"/>
        </w:rPr>
      </w:pPr>
    </w:p>
    <w:p w14:paraId="6B33768A">
      <w:pPr>
        <w:rPr>
          <w:rFonts w:ascii="Times New Roman" w:hAnsi="Times New Roman" w:cs="Times New Roman"/>
          <w:b/>
          <w:sz w:val="24"/>
          <w:szCs w:val="24"/>
        </w:rPr>
      </w:pPr>
    </w:p>
    <w:p w14:paraId="30578CDC">
      <w:pPr>
        <w:rPr>
          <w:rFonts w:ascii="Times New Roman" w:hAnsi="Times New Roman" w:cs="Times New Roman"/>
          <w:b/>
          <w:sz w:val="24"/>
          <w:szCs w:val="24"/>
        </w:rPr>
      </w:pPr>
    </w:p>
    <w:p w14:paraId="29C3B029">
      <w:pPr>
        <w:rPr>
          <w:rFonts w:ascii="Times New Roman" w:hAnsi="Times New Roman" w:cs="Times New Roman"/>
          <w:b/>
          <w:sz w:val="24"/>
          <w:szCs w:val="24"/>
        </w:rPr>
      </w:pPr>
    </w:p>
    <w:p w14:paraId="5349DF5F">
      <w:r>
        <w:rPr>
          <w:rFonts w:hint="eastAsia" w:ascii="Times New Roman" w:hAnsi="Times New Roman" w:cs="Times New Roman"/>
          <w:b/>
          <w:sz w:val="24"/>
          <w:szCs w:val="24"/>
        </w:rPr>
        <w:drawing>
          <wp:inline distT="0" distB="0" distL="0" distR="0">
            <wp:extent cx="5274310" cy="8570595"/>
            <wp:effectExtent l="0" t="0" r="254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4310" cy="8570595"/>
                    </a:xfrm>
                    <a:prstGeom prst="rect">
                      <a:avLst/>
                    </a:prstGeom>
                  </pic:spPr>
                </pic:pic>
              </a:graphicData>
            </a:graphic>
          </wp:inline>
        </w:drawing>
      </w:r>
    </w:p>
    <w:p w14:paraId="540B2E7B">
      <w:pPr>
        <w:spacing w:line="360" w:lineRule="auto"/>
        <w:rPr>
          <w:rFonts w:ascii="Times New Roman" w:hAnsi="Times New Roman" w:cs="Times New Roman"/>
          <w:sz w:val="24"/>
          <w:szCs w:val="24"/>
        </w:rPr>
      </w:pPr>
      <w:r>
        <w:rPr>
          <w:rFonts w:hint="eastAsia" w:ascii="Times New Roman" w:hAnsi="Times New Roman" w:cs="Times New Roman"/>
          <w:b/>
          <w:sz w:val="24"/>
          <w:szCs w:val="24"/>
        </w:rPr>
        <w:t>F</w:t>
      </w:r>
      <w:r>
        <w:rPr>
          <w:rFonts w:ascii="Times New Roman" w:hAnsi="Times New Roman" w:cs="Times New Roman"/>
          <w:b/>
          <w:sz w:val="24"/>
          <w:szCs w:val="24"/>
        </w:rPr>
        <w:t xml:space="preserve">igure S2. </w:t>
      </w:r>
      <w:r>
        <w:rPr>
          <w:rFonts w:ascii="Times New Roman" w:hAnsi="Times New Roman" w:cs="Times New Roman"/>
          <w:sz w:val="24"/>
          <w:szCs w:val="24"/>
        </w:rPr>
        <w:t xml:space="preserve">Prediction accuracy (ACC) of chemical language processing models across all datasets. Results are averaged over five independent testing runs for each model. Abbreviations: CD, cardiac disorders; CFG, congenital, familial, and genetic disorders; ED, eye disorders; ELD, ear and labyrinth disorders; ENDO, endocrine disorders; GD, general disorders and administration site conditions; GI, gastrointestinal disorders; HB, hepatobiliary disorders; HLD, blood and lymphatic system disorders; INF, infections and infestations; INV, investigations; IPO, injury, poisoning, and procedural complications; ISD, immune system disorders; MN, metabolism and nutrition disorders; MSK, musculoskeletal and connective tissue disorders; NEO, neoplasms; NSD, nervous system disorders; PD, psychiatric disorders; PI, product issues; PPP, pregnancy, puerperium, and perinatal conditions; RB, reproductive system and breast disorders; RT, respiratory, thoracic, and mediastinal disorders; RUD, renal and urinary disorders; SC, social circumstances; SD, skin and subcutaneous tissue disorders; SMP, surgical and medical procedures; VD, vascular disorders.  </w:t>
      </w:r>
    </w:p>
    <w:p w14:paraId="4C02FEE6">
      <w:pPr>
        <w:spacing w:line="360" w:lineRule="auto"/>
        <w:rPr>
          <w:rFonts w:ascii="Times New Roman" w:hAnsi="Times New Roman" w:cs="Times New Roman"/>
          <w:sz w:val="24"/>
          <w:szCs w:val="24"/>
        </w:rPr>
      </w:pPr>
    </w:p>
    <w:p w14:paraId="29F98BB5"/>
    <w:p w14:paraId="65716389"/>
    <w:p w14:paraId="4A04753B"/>
    <w:p w14:paraId="281238F1"/>
    <w:p w14:paraId="5E1F4D97"/>
    <w:p w14:paraId="71F0841A"/>
    <w:p w14:paraId="3308C904"/>
    <w:p w14:paraId="731463C2"/>
    <w:p w14:paraId="70440A5A"/>
    <w:p w14:paraId="7D4E08B7"/>
    <w:p w14:paraId="35B15595"/>
    <w:p w14:paraId="6F2D0DC4"/>
    <w:p w14:paraId="2E7613D6"/>
    <w:p w14:paraId="02E3C77F"/>
    <w:p w14:paraId="776902F0"/>
    <w:p w14:paraId="12A2AD0D"/>
    <w:p w14:paraId="05D57982"/>
    <w:p w14:paraId="69A32307"/>
    <w:p w14:paraId="3283A33A"/>
    <w:p w14:paraId="7F19C02F"/>
    <w:p w14:paraId="19EEBC4B"/>
    <w:p w14:paraId="76BA4E67"/>
    <w:p w14:paraId="645EB85B">
      <w:r>
        <w:rPr>
          <w:rFonts w:ascii="Times New Roman" w:hAnsi="Times New Roman" w:cs="Times New Roman"/>
          <w:sz w:val="24"/>
          <w:szCs w:val="24"/>
        </w:rPr>
        <w:drawing>
          <wp:inline distT="0" distB="0" distL="0" distR="0">
            <wp:extent cx="5274310" cy="8570595"/>
            <wp:effectExtent l="0" t="0" r="254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274310" cy="8570595"/>
                    </a:xfrm>
                    <a:prstGeom prst="rect">
                      <a:avLst/>
                    </a:prstGeom>
                  </pic:spPr>
                </pic:pic>
              </a:graphicData>
            </a:graphic>
          </wp:inline>
        </w:drawing>
      </w:r>
    </w:p>
    <w:p w14:paraId="20D36D7A">
      <w:pPr>
        <w:spacing w:line="360" w:lineRule="auto"/>
        <w:rPr>
          <w:rFonts w:ascii="Times New Roman" w:hAnsi="Times New Roman" w:cs="Times New Roman"/>
          <w:sz w:val="24"/>
          <w:szCs w:val="24"/>
        </w:rPr>
      </w:pPr>
      <w:r>
        <w:rPr>
          <w:rFonts w:hint="eastAsia" w:ascii="Times New Roman" w:hAnsi="Times New Roman" w:cs="Times New Roman"/>
          <w:b/>
          <w:sz w:val="24"/>
          <w:szCs w:val="24"/>
        </w:rPr>
        <w:t>Figure</w:t>
      </w:r>
      <w:r>
        <w:rPr>
          <w:rFonts w:ascii="Times New Roman" w:hAnsi="Times New Roman" w:cs="Times New Roman"/>
          <w:b/>
          <w:sz w:val="24"/>
          <w:szCs w:val="24"/>
        </w:rPr>
        <w:t xml:space="preserve"> S3. </w:t>
      </w:r>
      <w:r>
        <w:rPr>
          <w:rFonts w:ascii="Times New Roman" w:hAnsi="Times New Roman" w:cs="Times New Roman"/>
          <w:sz w:val="24"/>
          <w:szCs w:val="24"/>
        </w:rPr>
        <w:t xml:space="preserve">Matthews correlation coefficient (MCC) of each chemical language processing model across all datasets. Each model was evaluated through five independent runs, and the mean MCC obtained from these runs is presented. Abbreviations: CD, cardiac disorders; CFG, congenital, familial, and genetic disorders; ED, eye disorders; ELD, ear and labyrinth disorders; ENDO, endocrine disorders; GD, general disorders and administration site conditions; GI, gastrointestinal disorders; HB, hepatobiliary disorders; HLD, blood and lymphatic system disorders; INF, infections and infestations; INV, investigations; IPO, injury, poisoning, and procedural complications; ISD, immune system disorders; MN, metabolism and nutrition disorders; MSK, musculoskeletal and connective tissue disorders; NEO, neoplasms; NSD, nervous system disorders; PD, psychiatric disorders; PI, product issues; PPP, pregnancy, puerperium, and perinatal conditions; RB, reproductive system and breast disorders; RT, respiratory, thoracic, and mediastinal disorders; RUD, renal and urinary disorders; SC, social circumstances; SD, skin and subcutaneous tissue disorders; SMP, surgical and medical procedures; VD, vascular disorders.  </w:t>
      </w:r>
    </w:p>
    <w:p w14:paraId="6A1BA2CE">
      <w:pPr>
        <w:spacing w:line="360" w:lineRule="auto"/>
        <w:rPr>
          <w:rFonts w:ascii="Times New Roman" w:hAnsi="Times New Roman" w:cs="Times New Roman"/>
          <w:sz w:val="24"/>
          <w:szCs w:val="24"/>
        </w:rPr>
      </w:pPr>
    </w:p>
    <w:p w14:paraId="4141AF99">
      <w:pPr>
        <w:spacing w:line="360" w:lineRule="auto"/>
        <w:rPr>
          <w:rFonts w:ascii="Times New Roman" w:hAnsi="Times New Roman" w:cs="Times New Roman"/>
          <w:sz w:val="24"/>
          <w:szCs w:val="24"/>
        </w:rPr>
      </w:pPr>
    </w:p>
    <w:p w14:paraId="0FFA569A">
      <w:pPr>
        <w:spacing w:line="360" w:lineRule="auto"/>
        <w:rPr>
          <w:rFonts w:ascii="Times New Roman" w:hAnsi="Times New Roman" w:cs="Times New Roman"/>
          <w:sz w:val="24"/>
          <w:szCs w:val="24"/>
        </w:rPr>
      </w:pPr>
    </w:p>
    <w:p w14:paraId="11D91981">
      <w:pPr>
        <w:spacing w:line="360" w:lineRule="auto"/>
        <w:rPr>
          <w:rFonts w:ascii="Times New Roman" w:hAnsi="Times New Roman" w:cs="Times New Roman"/>
          <w:sz w:val="24"/>
          <w:szCs w:val="24"/>
        </w:rPr>
      </w:pPr>
    </w:p>
    <w:p w14:paraId="50B42F3F">
      <w:pPr>
        <w:spacing w:line="360" w:lineRule="auto"/>
        <w:rPr>
          <w:rFonts w:ascii="Times New Roman" w:hAnsi="Times New Roman" w:cs="Times New Roman"/>
          <w:sz w:val="24"/>
          <w:szCs w:val="24"/>
        </w:rPr>
      </w:pPr>
    </w:p>
    <w:p w14:paraId="2B85655F">
      <w:pPr>
        <w:spacing w:line="360" w:lineRule="auto"/>
        <w:rPr>
          <w:rFonts w:ascii="Times New Roman" w:hAnsi="Times New Roman" w:cs="Times New Roman"/>
          <w:sz w:val="24"/>
          <w:szCs w:val="24"/>
        </w:rPr>
      </w:pPr>
    </w:p>
    <w:p w14:paraId="378EAD0D">
      <w:pPr>
        <w:spacing w:line="360" w:lineRule="auto"/>
        <w:rPr>
          <w:rFonts w:ascii="Times New Roman" w:hAnsi="Times New Roman" w:cs="Times New Roman"/>
          <w:sz w:val="24"/>
          <w:szCs w:val="24"/>
        </w:rPr>
      </w:pPr>
    </w:p>
    <w:p w14:paraId="7791A6C2">
      <w:pPr>
        <w:spacing w:line="360" w:lineRule="auto"/>
        <w:rPr>
          <w:rFonts w:ascii="Times New Roman" w:hAnsi="Times New Roman" w:cs="Times New Roman"/>
          <w:sz w:val="24"/>
          <w:szCs w:val="24"/>
        </w:rPr>
      </w:pPr>
    </w:p>
    <w:p w14:paraId="29B754EB">
      <w:pPr>
        <w:spacing w:line="360" w:lineRule="auto"/>
        <w:rPr>
          <w:rFonts w:ascii="Times New Roman" w:hAnsi="Times New Roman" w:cs="Times New Roman"/>
          <w:sz w:val="24"/>
          <w:szCs w:val="24"/>
        </w:rPr>
      </w:pPr>
    </w:p>
    <w:p w14:paraId="79417955">
      <w:pPr>
        <w:spacing w:line="360" w:lineRule="auto"/>
        <w:rPr>
          <w:rFonts w:ascii="Times New Roman" w:hAnsi="Times New Roman" w:cs="Times New Roman"/>
          <w:sz w:val="24"/>
          <w:szCs w:val="24"/>
        </w:rPr>
      </w:pPr>
    </w:p>
    <w:p w14:paraId="5FD8BA66">
      <w:pPr>
        <w:spacing w:line="360" w:lineRule="auto"/>
        <w:rPr>
          <w:rFonts w:ascii="Times New Roman" w:hAnsi="Times New Roman" w:cs="Times New Roman"/>
          <w:sz w:val="24"/>
          <w:szCs w:val="24"/>
        </w:rPr>
      </w:pPr>
    </w:p>
    <w:p w14:paraId="1873B319">
      <w:pPr>
        <w:spacing w:line="360" w:lineRule="auto"/>
        <w:rPr>
          <w:rFonts w:ascii="Times New Roman" w:hAnsi="Times New Roman" w:cs="Times New Roman"/>
          <w:sz w:val="24"/>
          <w:szCs w:val="24"/>
        </w:rPr>
      </w:pPr>
    </w:p>
    <w:p w14:paraId="29AA89F8">
      <w:pPr>
        <w:spacing w:line="360" w:lineRule="auto"/>
        <w:rPr>
          <w:rFonts w:ascii="Times New Roman" w:hAnsi="Times New Roman" w:cs="Times New Roman"/>
          <w:sz w:val="24"/>
          <w:szCs w:val="24"/>
        </w:rPr>
      </w:pPr>
    </w:p>
    <w:p w14:paraId="0E7BB84D">
      <w:pPr>
        <w:spacing w:line="360" w:lineRule="auto"/>
        <w:rPr>
          <w:rFonts w:ascii="Times New Roman" w:hAnsi="Times New Roman" w:cs="Times New Roman"/>
          <w:sz w:val="24"/>
          <w:szCs w:val="24"/>
        </w:rPr>
      </w:pPr>
    </w:p>
    <w:p w14:paraId="3B5A2735">
      <w:pPr>
        <w:spacing w:line="360" w:lineRule="auto"/>
        <w:rPr>
          <w:rFonts w:ascii="Times New Roman" w:hAnsi="Times New Roman" w:cs="Times New Roman"/>
          <w:sz w:val="24"/>
          <w:szCs w:val="24"/>
        </w:rPr>
      </w:pPr>
    </w:p>
    <w:p w14:paraId="0C9EEFCD">
      <w:pPr>
        <w:spacing w:line="360" w:lineRule="auto"/>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274310" cy="1882775"/>
            <wp:effectExtent l="0" t="0" r="254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4310" cy="1882775"/>
                    </a:xfrm>
                    <a:prstGeom prst="rect">
                      <a:avLst/>
                    </a:prstGeom>
                  </pic:spPr>
                </pic:pic>
              </a:graphicData>
            </a:graphic>
          </wp:inline>
        </w:drawing>
      </w:r>
    </w:p>
    <w:p w14:paraId="48625341">
      <w:pPr>
        <w:spacing w:line="360" w:lineRule="auto"/>
        <w:rPr>
          <w:rFonts w:ascii="Times New Roman" w:hAnsi="Times New Roman" w:cs="Times New Roman"/>
          <w:sz w:val="24"/>
          <w:szCs w:val="24"/>
        </w:rPr>
      </w:pPr>
      <w:r>
        <w:rPr>
          <w:rFonts w:hint="eastAsia" w:ascii="Times New Roman" w:hAnsi="Times New Roman" w:cs="Times New Roman"/>
          <w:b/>
          <w:sz w:val="24"/>
          <w:szCs w:val="24"/>
        </w:rPr>
        <w:t>Figure</w:t>
      </w:r>
      <w:r>
        <w:rPr>
          <w:rFonts w:ascii="Times New Roman" w:hAnsi="Times New Roman" w:cs="Times New Roman"/>
          <w:b/>
          <w:sz w:val="24"/>
          <w:szCs w:val="24"/>
        </w:rPr>
        <w:t xml:space="preserve"> S4. </w:t>
      </w:r>
      <w:r>
        <w:rPr>
          <w:rFonts w:ascii="Times New Roman" w:hAnsi="Times New Roman" w:cs="Times New Roman"/>
          <w:sz w:val="24"/>
          <w:szCs w:val="24"/>
        </w:rPr>
        <w:t>Distribution of top rankings across 60 datasets. For each dataset, models were ranked by MCC (averaged over five independent runs), and the number of first-place finishes was tallied for each architecture.</w:t>
      </w:r>
    </w:p>
    <w:p w14:paraId="7F20BEE6">
      <w:pPr>
        <w:spacing w:line="360" w:lineRule="auto"/>
        <w:rPr>
          <w:rFonts w:ascii="Times New Roman" w:hAnsi="Times New Roman" w:cs="Times New Roman"/>
          <w:b/>
          <w:sz w:val="24"/>
          <w:szCs w:val="24"/>
        </w:rPr>
      </w:pPr>
    </w:p>
    <w:p w14:paraId="2648790A">
      <w:pPr>
        <w:spacing w:line="360" w:lineRule="auto"/>
        <w:rPr>
          <w:rFonts w:ascii="Times New Roman" w:hAnsi="Times New Roman" w:cs="Times New Roman"/>
          <w:b/>
          <w:sz w:val="24"/>
          <w:szCs w:val="24"/>
        </w:rPr>
      </w:pPr>
    </w:p>
    <w:p w14:paraId="4558354C">
      <w:pPr>
        <w:spacing w:line="360" w:lineRule="auto"/>
        <w:rPr>
          <w:rFonts w:ascii="Times New Roman" w:hAnsi="Times New Roman" w:cs="Times New Roman"/>
          <w:b/>
          <w:sz w:val="24"/>
          <w:szCs w:val="24"/>
        </w:rPr>
      </w:pPr>
    </w:p>
    <w:p w14:paraId="64017515">
      <w:pPr>
        <w:spacing w:line="360" w:lineRule="auto"/>
        <w:rPr>
          <w:rFonts w:ascii="Times New Roman" w:hAnsi="Times New Roman" w:cs="Times New Roman"/>
          <w:b/>
          <w:sz w:val="24"/>
          <w:szCs w:val="24"/>
        </w:rPr>
      </w:pPr>
    </w:p>
    <w:p w14:paraId="26F5839E">
      <w:pPr>
        <w:spacing w:line="360" w:lineRule="auto"/>
        <w:rPr>
          <w:rFonts w:ascii="Times New Roman" w:hAnsi="Times New Roman" w:cs="Times New Roman"/>
          <w:b/>
          <w:sz w:val="24"/>
          <w:szCs w:val="24"/>
        </w:rPr>
      </w:pPr>
    </w:p>
    <w:p w14:paraId="33C707D6">
      <w:pPr>
        <w:spacing w:line="360" w:lineRule="auto"/>
        <w:rPr>
          <w:rFonts w:ascii="Times New Roman" w:hAnsi="Times New Roman" w:cs="Times New Roman"/>
          <w:b/>
          <w:sz w:val="24"/>
          <w:szCs w:val="24"/>
        </w:rPr>
      </w:pPr>
    </w:p>
    <w:p w14:paraId="7584627F">
      <w:pPr>
        <w:spacing w:line="360" w:lineRule="auto"/>
        <w:rPr>
          <w:rFonts w:ascii="Times New Roman" w:hAnsi="Times New Roman" w:cs="Times New Roman"/>
          <w:b/>
          <w:sz w:val="24"/>
          <w:szCs w:val="24"/>
        </w:rPr>
      </w:pPr>
    </w:p>
    <w:p w14:paraId="72C3A675">
      <w:pPr>
        <w:spacing w:line="360" w:lineRule="auto"/>
        <w:rPr>
          <w:rFonts w:ascii="Times New Roman" w:hAnsi="Times New Roman" w:cs="Times New Roman"/>
          <w:b/>
          <w:sz w:val="24"/>
          <w:szCs w:val="24"/>
        </w:rPr>
      </w:pPr>
    </w:p>
    <w:p w14:paraId="56D5CE50">
      <w:pPr>
        <w:spacing w:line="360" w:lineRule="auto"/>
        <w:rPr>
          <w:rFonts w:ascii="Times New Roman" w:hAnsi="Times New Roman" w:cs="Times New Roman"/>
          <w:b/>
          <w:sz w:val="24"/>
          <w:szCs w:val="24"/>
        </w:rPr>
      </w:pPr>
    </w:p>
    <w:p w14:paraId="6358BDFC">
      <w:pPr>
        <w:spacing w:line="360" w:lineRule="auto"/>
        <w:rPr>
          <w:rFonts w:ascii="Times New Roman" w:hAnsi="Times New Roman" w:cs="Times New Roman"/>
          <w:b/>
          <w:sz w:val="24"/>
          <w:szCs w:val="24"/>
        </w:rPr>
      </w:pPr>
    </w:p>
    <w:p w14:paraId="5E7D4E1A">
      <w:pPr>
        <w:spacing w:line="360" w:lineRule="auto"/>
        <w:rPr>
          <w:rFonts w:ascii="Times New Roman" w:hAnsi="Times New Roman" w:cs="Times New Roman"/>
          <w:b/>
          <w:sz w:val="24"/>
          <w:szCs w:val="24"/>
        </w:rPr>
      </w:pPr>
    </w:p>
    <w:p w14:paraId="082A2852">
      <w:pPr>
        <w:spacing w:line="360" w:lineRule="auto"/>
        <w:rPr>
          <w:rFonts w:ascii="Times New Roman" w:hAnsi="Times New Roman" w:cs="Times New Roman"/>
          <w:b/>
          <w:sz w:val="24"/>
          <w:szCs w:val="24"/>
        </w:rPr>
      </w:pPr>
    </w:p>
    <w:p w14:paraId="54598257">
      <w:pPr>
        <w:spacing w:line="360" w:lineRule="auto"/>
        <w:rPr>
          <w:rFonts w:ascii="Times New Roman" w:hAnsi="Times New Roman" w:cs="Times New Roman"/>
          <w:b/>
          <w:sz w:val="24"/>
          <w:szCs w:val="24"/>
        </w:rPr>
      </w:pPr>
    </w:p>
    <w:p w14:paraId="08EA386C">
      <w:pPr>
        <w:spacing w:line="360" w:lineRule="auto"/>
        <w:rPr>
          <w:rFonts w:ascii="Times New Roman" w:hAnsi="Times New Roman" w:cs="Times New Roman"/>
          <w:b/>
          <w:sz w:val="24"/>
          <w:szCs w:val="24"/>
        </w:rPr>
      </w:pPr>
    </w:p>
    <w:p w14:paraId="1C834188">
      <w:pPr>
        <w:spacing w:line="360" w:lineRule="auto"/>
        <w:rPr>
          <w:rFonts w:ascii="Times New Roman" w:hAnsi="Times New Roman" w:cs="Times New Roman"/>
          <w:b/>
          <w:sz w:val="24"/>
          <w:szCs w:val="24"/>
        </w:rPr>
      </w:pPr>
    </w:p>
    <w:p w14:paraId="7275BE05">
      <w:pPr>
        <w:spacing w:line="360" w:lineRule="auto"/>
        <w:rPr>
          <w:rFonts w:ascii="Times New Roman" w:hAnsi="Times New Roman" w:cs="Times New Roman"/>
          <w:b/>
          <w:sz w:val="24"/>
          <w:szCs w:val="24"/>
        </w:rPr>
      </w:pPr>
    </w:p>
    <w:p w14:paraId="2A07A7D3">
      <w:pPr>
        <w:spacing w:line="360" w:lineRule="auto"/>
        <w:rPr>
          <w:rFonts w:ascii="Times New Roman" w:hAnsi="Times New Roman" w:cs="Times New Roman"/>
          <w:b/>
          <w:sz w:val="24"/>
          <w:szCs w:val="24"/>
        </w:rPr>
      </w:pPr>
    </w:p>
    <w:p w14:paraId="02BE139C">
      <w:pPr>
        <w:spacing w:line="360" w:lineRule="auto"/>
        <w:rPr>
          <w:rFonts w:ascii="Times New Roman" w:hAnsi="Times New Roman" w:cs="Times New Roman"/>
          <w:b/>
          <w:sz w:val="24"/>
          <w:szCs w:val="24"/>
        </w:rPr>
      </w:pPr>
    </w:p>
    <w:p w14:paraId="510305DD">
      <w:pPr>
        <w:spacing w:line="360" w:lineRule="auto"/>
        <w:rPr>
          <w:rFonts w:ascii="Times New Roman" w:hAnsi="Times New Roman" w:cs="Times New Roman"/>
          <w:b/>
          <w:sz w:val="24"/>
          <w:szCs w:val="24"/>
        </w:rPr>
      </w:pPr>
    </w:p>
    <w:p w14:paraId="7C04BFFB">
      <w:pPr>
        <w:spacing w:line="360" w:lineRule="auto"/>
        <w:rPr>
          <w:rFonts w:ascii="Times New Roman" w:hAnsi="Times New Roman" w:cs="Times New Roman"/>
          <w:b/>
          <w:sz w:val="24"/>
          <w:szCs w:val="24"/>
        </w:rPr>
      </w:pPr>
    </w:p>
    <w:p w14:paraId="5D460913">
      <w:pPr>
        <w:spacing w:line="360" w:lineRule="auto"/>
        <w:rPr>
          <w:rFonts w:ascii="Times New Roman" w:hAnsi="Times New Roman" w:cs="Times New Roman"/>
          <w:b/>
          <w:sz w:val="24"/>
          <w:szCs w:val="24"/>
        </w:rPr>
      </w:pPr>
      <w:r>
        <w:rPr>
          <w:rFonts w:hint="eastAsia" w:ascii="Times New Roman" w:hAnsi="Times New Roman" w:cs="Times New Roman"/>
          <w:b/>
          <w:sz w:val="24"/>
          <w:szCs w:val="24"/>
        </w:rPr>
        <w:drawing>
          <wp:inline distT="0" distB="0" distL="0" distR="0">
            <wp:extent cx="5274310" cy="593344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310" cy="5933440"/>
                    </a:xfrm>
                    <a:prstGeom prst="rect">
                      <a:avLst/>
                    </a:prstGeom>
                  </pic:spPr>
                </pic:pic>
              </a:graphicData>
            </a:graphic>
          </wp:inline>
        </w:drawing>
      </w:r>
    </w:p>
    <w:p w14:paraId="62D718B5">
      <w:pPr>
        <w:spacing w:line="360" w:lineRule="auto"/>
        <w:rPr>
          <w:rFonts w:ascii="Times New Roman" w:hAnsi="Times New Roman" w:cs="Times New Roman"/>
          <w:b/>
          <w:sz w:val="24"/>
          <w:szCs w:val="24"/>
        </w:rPr>
      </w:pPr>
      <w:r>
        <w:rPr>
          <w:rFonts w:hint="eastAsia" w:ascii="Times New Roman" w:hAnsi="Times New Roman" w:cs="Times New Roman"/>
          <w:b/>
          <w:sz w:val="24"/>
          <w:szCs w:val="24"/>
        </w:rPr>
        <w:t>F</w:t>
      </w:r>
      <w:r>
        <w:rPr>
          <w:rFonts w:ascii="Times New Roman" w:hAnsi="Times New Roman" w:cs="Times New Roman"/>
          <w:b/>
          <w:sz w:val="24"/>
          <w:szCs w:val="24"/>
        </w:rPr>
        <w:t xml:space="preserve">igure S5. </w:t>
      </w:r>
      <w:r>
        <w:rPr>
          <w:rFonts w:ascii="Times New Roman" w:hAnsi="Times New Roman" w:cs="Times New Roman"/>
          <w:sz w:val="24"/>
          <w:szCs w:val="24"/>
        </w:rPr>
        <w:t>Top ten and bottom ten multimodal fusion combinations and their corresponding performance metrics for the BACE dataset. Each row represents a unique fusion configuration, evaluated by accuracy, F-value, recall, precision, MCC, and AUC. Models are grouped according to their input descriptor types, and ○ / ● symbols denote the exclusion or inclusion of specific fingerprint types within each combination.</w:t>
      </w:r>
    </w:p>
    <w:p w14:paraId="70DBCCCA">
      <w:pPr>
        <w:spacing w:line="360" w:lineRule="auto"/>
        <w:rPr>
          <w:rFonts w:ascii="Times New Roman" w:hAnsi="Times New Roman" w:cs="Times New Roman"/>
          <w:b/>
          <w:sz w:val="24"/>
          <w:szCs w:val="24"/>
        </w:rPr>
      </w:pPr>
    </w:p>
    <w:p w14:paraId="3B4C56F2">
      <w:pPr>
        <w:spacing w:line="360" w:lineRule="auto"/>
        <w:rPr>
          <w:rFonts w:ascii="Times New Roman" w:hAnsi="Times New Roman" w:cs="Times New Roman"/>
          <w:b/>
          <w:sz w:val="24"/>
          <w:szCs w:val="24"/>
        </w:rPr>
      </w:pPr>
    </w:p>
    <w:p w14:paraId="7AB05B9A">
      <w:pPr>
        <w:spacing w:line="360" w:lineRule="auto"/>
        <w:rPr>
          <w:rFonts w:ascii="Times New Roman" w:hAnsi="Times New Roman" w:cs="Times New Roman"/>
          <w:b/>
          <w:sz w:val="24"/>
          <w:szCs w:val="24"/>
        </w:rPr>
      </w:pPr>
    </w:p>
    <w:p w14:paraId="5AB70D0B">
      <w:pPr>
        <w:spacing w:line="360" w:lineRule="auto"/>
        <w:rPr>
          <w:rFonts w:ascii="Times New Roman" w:hAnsi="Times New Roman" w:cs="Times New Roman"/>
          <w:b/>
          <w:sz w:val="24"/>
          <w:szCs w:val="24"/>
        </w:rPr>
      </w:pPr>
    </w:p>
    <w:p w14:paraId="3B7C40A1">
      <w:pPr>
        <w:spacing w:line="360" w:lineRule="auto"/>
        <w:rPr>
          <w:rFonts w:ascii="Times New Roman" w:hAnsi="Times New Roman" w:cs="Times New Roman"/>
          <w:b/>
          <w:sz w:val="24"/>
          <w:szCs w:val="24"/>
        </w:rPr>
      </w:pPr>
      <w:r>
        <w:rPr>
          <w:rFonts w:hint="eastAsia" w:ascii="Times New Roman" w:hAnsi="Times New Roman" w:cs="Times New Roman"/>
          <w:b/>
          <w:sz w:val="24"/>
          <w:szCs w:val="24"/>
        </w:rPr>
        <w:drawing>
          <wp:inline distT="0" distB="0" distL="0" distR="0">
            <wp:extent cx="5274310" cy="593344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74310" cy="5933440"/>
                    </a:xfrm>
                    <a:prstGeom prst="rect">
                      <a:avLst/>
                    </a:prstGeom>
                  </pic:spPr>
                </pic:pic>
              </a:graphicData>
            </a:graphic>
          </wp:inline>
        </w:drawing>
      </w:r>
    </w:p>
    <w:p w14:paraId="28C82DF7">
      <w:pPr>
        <w:spacing w:line="360" w:lineRule="auto"/>
        <w:rPr>
          <w:rFonts w:ascii="Times New Roman" w:hAnsi="Times New Roman" w:cs="Times New Roman"/>
          <w:b/>
          <w:sz w:val="24"/>
          <w:szCs w:val="24"/>
        </w:rPr>
      </w:pPr>
      <w:r>
        <w:rPr>
          <w:rFonts w:hint="eastAsia" w:ascii="Times New Roman" w:hAnsi="Times New Roman" w:cs="Times New Roman"/>
          <w:b/>
          <w:sz w:val="24"/>
          <w:szCs w:val="24"/>
        </w:rPr>
        <w:t>F</w:t>
      </w:r>
      <w:r>
        <w:rPr>
          <w:rFonts w:ascii="Times New Roman" w:hAnsi="Times New Roman" w:cs="Times New Roman"/>
          <w:b/>
          <w:sz w:val="24"/>
          <w:szCs w:val="24"/>
        </w:rPr>
        <w:t xml:space="preserve">igure S6. </w:t>
      </w:r>
      <w:r>
        <w:rPr>
          <w:rFonts w:ascii="Times New Roman" w:hAnsi="Times New Roman" w:cs="Times New Roman"/>
          <w:sz w:val="24"/>
          <w:szCs w:val="24"/>
        </w:rPr>
        <w:t>Top ten and bottom ten multimodal fusion combinations and their corresponding performance metrics for the BBBP dataset. Each row represents a unique fusion configuration, evaluated by accuracy, F-value, recall, precision, MCC, and AUC. Models are grouped according to their input descriptor types, and ○ / ● symbols denote the exclusion or inclusion of specific fingerprint types within each combination.</w:t>
      </w:r>
    </w:p>
    <w:p w14:paraId="22982F87">
      <w:pPr>
        <w:spacing w:line="360" w:lineRule="auto"/>
        <w:rPr>
          <w:rFonts w:ascii="Times New Roman" w:hAnsi="Times New Roman" w:cs="Times New Roman"/>
          <w:b/>
          <w:sz w:val="24"/>
          <w:szCs w:val="24"/>
        </w:rPr>
      </w:pPr>
    </w:p>
    <w:p w14:paraId="43641CDE">
      <w:pPr>
        <w:spacing w:line="360" w:lineRule="auto"/>
        <w:rPr>
          <w:rFonts w:ascii="Times New Roman" w:hAnsi="Times New Roman" w:cs="Times New Roman"/>
          <w:b/>
          <w:sz w:val="24"/>
          <w:szCs w:val="24"/>
        </w:rPr>
      </w:pPr>
    </w:p>
    <w:p w14:paraId="72B44DC8">
      <w:pPr>
        <w:spacing w:line="360" w:lineRule="auto"/>
        <w:rPr>
          <w:rFonts w:ascii="Times New Roman" w:hAnsi="Times New Roman" w:cs="Times New Roman"/>
          <w:b/>
          <w:sz w:val="24"/>
          <w:szCs w:val="24"/>
        </w:rPr>
      </w:pPr>
    </w:p>
    <w:p w14:paraId="0A18E965">
      <w:pPr>
        <w:spacing w:line="360" w:lineRule="auto"/>
        <w:rPr>
          <w:rFonts w:ascii="Times New Roman" w:hAnsi="Times New Roman" w:cs="Times New Roman"/>
          <w:b/>
          <w:sz w:val="24"/>
          <w:szCs w:val="24"/>
        </w:rPr>
      </w:pPr>
    </w:p>
    <w:p w14:paraId="78BE855B">
      <w:pPr>
        <w:spacing w:line="360" w:lineRule="auto"/>
        <w:rPr>
          <w:rFonts w:ascii="Times New Roman" w:hAnsi="Times New Roman" w:cs="Times New Roman"/>
          <w:b/>
          <w:sz w:val="24"/>
          <w:szCs w:val="24"/>
        </w:rPr>
      </w:pPr>
    </w:p>
    <w:p w14:paraId="400EE0B4">
      <w:pPr>
        <w:spacing w:line="360" w:lineRule="auto"/>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274310" cy="186690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310" cy="1866900"/>
                    </a:xfrm>
                    <a:prstGeom prst="rect">
                      <a:avLst/>
                    </a:prstGeom>
                  </pic:spPr>
                </pic:pic>
              </a:graphicData>
            </a:graphic>
          </wp:inline>
        </w:drawing>
      </w:r>
    </w:p>
    <w:p w14:paraId="15CF41EB">
      <w:pPr>
        <w:spacing w:line="360" w:lineRule="auto"/>
      </w:pPr>
      <w:r>
        <w:rPr>
          <w:rFonts w:hint="eastAsia" w:ascii="Times New Roman" w:hAnsi="Times New Roman" w:cs="Times New Roman"/>
          <w:b/>
          <w:sz w:val="24"/>
          <w:szCs w:val="24"/>
        </w:rPr>
        <w:t>Figure</w:t>
      </w:r>
      <w:r>
        <w:rPr>
          <w:rFonts w:ascii="Times New Roman" w:hAnsi="Times New Roman" w:cs="Times New Roman"/>
          <w:b/>
          <w:sz w:val="24"/>
          <w:szCs w:val="24"/>
        </w:rPr>
        <w:t xml:space="preserve"> S7. </w:t>
      </w:r>
      <w:r>
        <w:rPr>
          <w:rFonts w:ascii="Times New Roman" w:hAnsi="Times New Roman" w:cs="Times New Roman"/>
          <w:sz w:val="24"/>
          <w:szCs w:val="24"/>
        </w:rPr>
        <w:t xml:space="preserve">Comparative performance of multimodal fusion models (MFMs) versus chemical language processing models (CLPs) across 60 datasets. </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Segoe UI">
    <w:panose1 w:val="020B0502040204020203"/>
    <w:charset w:val="00"/>
    <w:family w:val="swiss"/>
    <w:pitch w:val="default"/>
    <w:sig w:usb0="E4002EFF" w:usb1="C000E47F"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BEC"/>
    <w:rsid w:val="000B270C"/>
    <w:rsid w:val="000E7B69"/>
    <w:rsid w:val="002222D6"/>
    <w:rsid w:val="003050DB"/>
    <w:rsid w:val="003B0E84"/>
    <w:rsid w:val="003F56DD"/>
    <w:rsid w:val="004354E6"/>
    <w:rsid w:val="00480A33"/>
    <w:rsid w:val="0049309E"/>
    <w:rsid w:val="004966F2"/>
    <w:rsid w:val="004B6B2C"/>
    <w:rsid w:val="004C7027"/>
    <w:rsid w:val="004E7585"/>
    <w:rsid w:val="004F7DD6"/>
    <w:rsid w:val="0071215D"/>
    <w:rsid w:val="00816EAA"/>
    <w:rsid w:val="0086510B"/>
    <w:rsid w:val="008D4EB3"/>
    <w:rsid w:val="008F3096"/>
    <w:rsid w:val="00914AB4"/>
    <w:rsid w:val="00B379E8"/>
    <w:rsid w:val="00C95BCC"/>
    <w:rsid w:val="00CC3BEC"/>
    <w:rsid w:val="00DE293F"/>
    <w:rsid w:val="00E40C84"/>
    <w:rsid w:val="00EE378E"/>
    <w:rsid w:val="00FA7E67"/>
    <w:rsid w:val="00FD08D7"/>
    <w:rsid w:val="1CE95F7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unhideWhenUsed/>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character" w:styleId="6">
    <w:name w:val="Strong"/>
    <w:basedOn w:val="5"/>
    <w:qFormat/>
    <w:uiPriority w:val="22"/>
    <w:rPr>
      <w:b/>
      <w:bCs/>
    </w:rPr>
  </w:style>
  <w:style w:type="character" w:customStyle="1" w:styleId="7">
    <w:name w:val="页眉 字符"/>
    <w:basedOn w:val="5"/>
    <w:link w:val="3"/>
    <w:uiPriority w:val="99"/>
    <w:rPr>
      <w:sz w:val="18"/>
      <w:szCs w:val="18"/>
    </w:rPr>
  </w:style>
  <w:style w:type="character" w:customStyle="1" w:styleId="8">
    <w:name w:val="页脚 字符"/>
    <w:basedOn w:val="5"/>
    <w:link w:val="2"/>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586</Words>
  <Characters>3829</Characters>
  <Lines>32</Lines>
  <Paragraphs>9</Paragraphs>
  <TotalTime>324</TotalTime>
  <ScaleCrop>false</ScaleCrop>
  <LinksUpToDate>false</LinksUpToDate>
  <CharactersWithSpaces>4433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2025-10-27T02:08:00Z</dcterms:created>
  <dc:creator>dell</dc:creator>
  <cp:lastModifiedBy>Ann</cp:lastModifiedBy>
  <dcterms:modified xsi:type="dcterms:W3CDTF">2026-03-27T03:16:08Z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eyJoZGlkIjoiNTc0YTc1ZmVkMmFkYjA0ZDAyNTYyMzBmZDIyZjA3MTkiLCJ1c2VySWQiOiI2MjE5NjU5NzAifQ==</vt:lpwstr>
  </property>
  <property fmtid="{D5CDD505-2E9C-101B-9397-08002B2CF9AE}" pid="3" name="KSOProductBuildVer">
    <vt:lpwstr>2052-12.1.0.25225</vt:lpwstr>
  </property>
  <property fmtid="{D5CDD505-2E9C-101B-9397-08002B2CF9AE}" pid="4" name="ICV">
    <vt:lpwstr>F0D8C20BD79B4EFEAFF4AC0E1A1CA74E_12</vt:lpwstr>
  </property>
</Properties>
</file>