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E9CBB3" w14:textId="77777777" w:rsidR="00214120" w:rsidRDefault="00214120" w:rsidP="00214120">
      <w:pPr>
        <w:pStyle w:val="NoSpacing"/>
        <w:rPr>
          <w:color w:val="000000" w:themeColor="text1"/>
        </w:rPr>
      </w:pPr>
      <w:r>
        <w:rPr>
          <w:color w:val="000000" w:themeColor="text1"/>
        </w:rPr>
        <w:t xml:space="preserve">Appendix 1: </w:t>
      </w:r>
      <w:r w:rsidRPr="00F95606">
        <w:t>Organisational Structural Orientation of the Comparative Framework</w:t>
      </w:r>
      <w:r>
        <w:rPr>
          <w:noProof/>
        </w:rPr>
        <w:drawing>
          <wp:inline distT="0" distB="0" distL="0" distR="0" wp14:anchorId="02C4C44C" wp14:editId="51AB556D">
            <wp:extent cx="5683250" cy="3892550"/>
            <wp:effectExtent l="0" t="0" r="12700" b="12700"/>
            <wp:docPr id="8" name="Chart 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A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"/>
              </a:graphicData>
            </a:graphic>
          </wp:inline>
        </w:drawing>
      </w:r>
    </w:p>
    <w:p w14:paraId="00383A91" w14:textId="77777777" w:rsidR="00214120" w:rsidRDefault="00214120" w:rsidP="00214120">
      <w:pPr>
        <w:pStyle w:val="NoSpacing"/>
        <w:rPr>
          <w:color w:val="000000" w:themeColor="text1"/>
        </w:rPr>
      </w:pPr>
      <w:r w:rsidRPr="00C52344">
        <w:rPr>
          <w:color w:val="000000" w:themeColor="text1"/>
          <w:vertAlign w:val="superscript"/>
        </w:rPr>
        <w:t>b</w:t>
      </w:r>
      <w:r w:rsidRPr="00C52344">
        <w:rPr>
          <w:color w:val="000000" w:themeColor="text1"/>
        </w:rPr>
        <w:t xml:space="preserve"> </w:t>
      </w:r>
      <w:r w:rsidRPr="00D74CCA">
        <w:rPr>
          <w:i/>
          <w:color w:val="000000" w:themeColor="text1"/>
        </w:rPr>
        <w:t>Sources:</w:t>
      </w:r>
      <w:r>
        <w:rPr>
          <w:color w:val="000000" w:themeColor="text1"/>
        </w:rPr>
        <w:t xml:space="preserve"> The literature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ADDIN EN.CITE &lt;EndNote&gt;&lt;Cite&gt;&lt;Author&gt;Malik&lt;/Author&gt;&lt;Year&gt;2018&lt;/Year&gt;&lt;RecNum&gt;35310&lt;/RecNum&gt;&lt;DisplayText&gt;(Malik, 2018)&lt;/DisplayText&gt;&lt;record&gt;&lt;rec-number&gt;35310&lt;/rec-number&gt;&lt;foreign-keys&gt;&lt;key app="EN" db-id="0erxd9pph005tredp5050vaudswv0x5zs5dv"&gt;35310&lt;/key&gt;&lt;/foreign-keys&gt;&lt;ref-type name="Journal Article"&gt;17&lt;/ref-type&gt;&lt;contributors&gt;&lt;authors&gt;&lt;author&gt;Malik, Tariq H.&lt;/author&gt;&lt;/authors&gt;&lt;/contributors&gt;&lt;titles&gt;&lt;title&gt;Society-Nature-Technology (SNT) Nexus: Institutional Causes and Cures of National Morbidities&lt;/title&gt;&lt;secondary-title&gt;Technological Forecasting &amp;amp; Social Change&lt;/secondary-title&gt;&lt;/titles&gt;&lt;periodical&gt;&lt;full-title&gt;Technological Forecasting &amp;amp; Social Change&lt;/full-title&gt;&lt;/periodical&gt;&lt;volume&gt;https://doi.org/10.1016/j.techfore.2018.04.027&lt;/volume&gt;&lt;dates&gt;&lt;year&gt;2018&lt;/year&gt;&lt;/dates&gt;&lt;urls&gt;&lt;/urls&gt;&lt;/record&gt;&lt;/Cite&gt;&lt;/EndNote&gt;</w:instrText>
      </w:r>
      <w:r>
        <w:rPr>
          <w:color w:val="000000" w:themeColor="text1"/>
        </w:rPr>
        <w:fldChar w:fldCharType="separate"/>
      </w:r>
      <w:r>
        <w:rPr>
          <w:noProof/>
          <w:color w:val="000000" w:themeColor="text1"/>
        </w:rPr>
        <w:t>(</w:t>
      </w:r>
      <w:hyperlink w:anchor="_ENREF_19" w:tooltip="Malik, 2018 #35310" w:history="1">
        <w:r>
          <w:rPr>
            <w:noProof/>
            <w:color w:val="000000" w:themeColor="text1"/>
          </w:rPr>
          <w:t>Malik, 2018</w:t>
        </w:r>
      </w:hyperlink>
      <w:r>
        <w:rPr>
          <w:noProof/>
          <w:color w:val="000000" w:themeColor="text1"/>
        </w:rPr>
        <w:t>)</w:t>
      </w:r>
      <w:r>
        <w:rPr>
          <w:color w:val="000000" w:themeColor="text1"/>
        </w:rPr>
        <w:fldChar w:fldCharType="end"/>
      </w:r>
    </w:p>
    <w:p w14:paraId="082B8A6C" w14:textId="77777777" w:rsidR="00214120" w:rsidRDefault="00214120" w:rsidP="00214120">
      <w:pPr>
        <w:ind w:left="709" w:hanging="709"/>
        <w:rPr>
          <w:rFonts w:ascii="Times New Roman" w:hAnsi="Times New Roman" w:cs="Times New Roman"/>
          <w:sz w:val="24"/>
          <w:szCs w:val="24"/>
        </w:rPr>
      </w:pPr>
    </w:p>
    <w:p w14:paraId="0969F821" w14:textId="77777777" w:rsidR="00214120" w:rsidRDefault="00214120" w:rsidP="00214120">
      <w:pPr>
        <w:pStyle w:val="NoSpacing"/>
        <w:rPr>
          <w:color w:val="000000" w:themeColor="text1"/>
        </w:rPr>
      </w:pPr>
    </w:p>
    <w:p w14:paraId="4160AFE5" w14:textId="77777777" w:rsidR="00214120" w:rsidRDefault="00214120" w:rsidP="00214120">
      <w:pPr>
        <w:pStyle w:val="NoSpacing"/>
        <w:rPr>
          <w:color w:val="000000" w:themeColor="text1"/>
        </w:rPr>
      </w:pPr>
    </w:p>
    <w:p w14:paraId="3548AB54" w14:textId="77777777" w:rsidR="00214120" w:rsidRDefault="00214120" w:rsidP="00214120">
      <w:pPr>
        <w:pStyle w:val="NoSpacing"/>
        <w:rPr>
          <w:color w:val="000000" w:themeColor="text1"/>
        </w:rPr>
      </w:pPr>
    </w:p>
    <w:p w14:paraId="3FE17EDF" w14:textId="77777777" w:rsidR="00214120" w:rsidRDefault="00214120" w:rsidP="00214120">
      <w:pPr>
        <w:pStyle w:val="NoSpacing"/>
        <w:rPr>
          <w:color w:val="000000" w:themeColor="text1"/>
        </w:rPr>
      </w:pPr>
    </w:p>
    <w:p w14:paraId="48CD042F" w14:textId="77777777" w:rsidR="00214120" w:rsidRDefault="00214120" w:rsidP="00214120">
      <w:pPr>
        <w:pStyle w:val="NoSpacing"/>
        <w:rPr>
          <w:color w:val="000000" w:themeColor="text1"/>
        </w:rPr>
      </w:pPr>
    </w:p>
    <w:p w14:paraId="7C264A60" w14:textId="77777777" w:rsidR="00214120" w:rsidRDefault="00214120" w:rsidP="00214120">
      <w:pPr>
        <w:pStyle w:val="NoSpacing"/>
        <w:rPr>
          <w:color w:val="000000" w:themeColor="text1"/>
        </w:rPr>
      </w:pPr>
    </w:p>
    <w:p w14:paraId="640033C4" w14:textId="77777777" w:rsidR="00214120" w:rsidRDefault="00214120" w:rsidP="00214120">
      <w:pPr>
        <w:pStyle w:val="NoSpacing"/>
        <w:rPr>
          <w:color w:val="000000" w:themeColor="text1"/>
        </w:rPr>
      </w:pPr>
    </w:p>
    <w:p w14:paraId="76CEDFCF" w14:textId="77777777" w:rsidR="00214120" w:rsidRDefault="00214120" w:rsidP="00214120">
      <w:pPr>
        <w:pStyle w:val="NoSpacing"/>
        <w:rPr>
          <w:color w:val="000000" w:themeColor="text1"/>
        </w:rPr>
      </w:pPr>
    </w:p>
    <w:p w14:paraId="796D00D5" w14:textId="77777777" w:rsidR="00214120" w:rsidRDefault="00214120" w:rsidP="00214120">
      <w:pPr>
        <w:pStyle w:val="NoSpacing"/>
        <w:rPr>
          <w:color w:val="000000" w:themeColor="text1"/>
        </w:rPr>
      </w:pPr>
    </w:p>
    <w:p w14:paraId="65C5D64D" w14:textId="77777777" w:rsidR="00214120" w:rsidRDefault="00214120" w:rsidP="00214120">
      <w:pPr>
        <w:pStyle w:val="NoSpacing"/>
        <w:rPr>
          <w:color w:val="000000" w:themeColor="text1"/>
        </w:rPr>
      </w:pPr>
    </w:p>
    <w:p w14:paraId="71BB299A" w14:textId="77777777" w:rsidR="00214120" w:rsidRDefault="00214120" w:rsidP="00214120">
      <w:pPr>
        <w:pStyle w:val="NoSpacing"/>
        <w:rPr>
          <w:color w:val="000000" w:themeColor="text1"/>
        </w:rPr>
      </w:pPr>
    </w:p>
    <w:p w14:paraId="3437ECC9" w14:textId="77777777" w:rsidR="00214120" w:rsidRDefault="00214120" w:rsidP="00214120">
      <w:pPr>
        <w:pStyle w:val="NoSpacing"/>
        <w:rPr>
          <w:color w:val="000000" w:themeColor="text1"/>
        </w:rPr>
      </w:pPr>
    </w:p>
    <w:p w14:paraId="6083ADF7" w14:textId="77777777" w:rsidR="00214120" w:rsidRDefault="00214120" w:rsidP="00214120">
      <w:pPr>
        <w:pStyle w:val="NoSpacing"/>
        <w:rPr>
          <w:color w:val="000000" w:themeColor="text1"/>
        </w:rPr>
      </w:pPr>
    </w:p>
    <w:p w14:paraId="36B5B97E" w14:textId="77777777" w:rsidR="00214120" w:rsidRDefault="00214120" w:rsidP="00214120">
      <w:pPr>
        <w:pStyle w:val="NoSpacing"/>
        <w:rPr>
          <w:color w:val="000000" w:themeColor="text1"/>
        </w:rPr>
      </w:pPr>
    </w:p>
    <w:p w14:paraId="7499EBAA" w14:textId="77777777" w:rsidR="00214120" w:rsidRDefault="00214120" w:rsidP="00214120">
      <w:pPr>
        <w:pStyle w:val="NoSpacing"/>
        <w:rPr>
          <w:color w:val="000000" w:themeColor="text1"/>
        </w:rPr>
      </w:pPr>
    </w:p>
    <w:p w14:paraId="4FF2D13E" w14:textId="77777777" w:rsidR="00214120" w:rsidRDefault="00214120" w:rsidP="00214120">
      <w:pPr>
        <w:pStyle w:val="NoSpacing"/>
        <w:rPr>
          <w:color w:val="000000" w:themeColor="text1"/>
        </w:rPr>
      </w:pPr>
    </w:p>
    <w:p w14:paraId="3152145C" w14:textId="77777777" w:rsidR="00214120" w:rsidRDefault="00214120" w:rsidP="00214120">
      <w:pPr>
        <w:pStyle w:val="NoSpacing"/>
        <w:rPr>
          <w:color w:val="000000" w:themeColor="text1"/>
        </w:rPr>
      </w:pPr>
    </w:p>
    <w:p w14:paraId="34E3E949" w14:textId="77777777" w:rsidR="00214120" w:rsidRDefault="00214120" w:rsidP="00214120">
      <w:pPr>
        <w:pStyle w:val="NoSpacing"/>
        <w:rPr>
          <w:color w:val="000000" w:themeColor="text1"/>
        </w:rPr>
      </w:pPr>
    </w:p>
    <w:p w14:paraId="26796386" w14:textId="77777777" w:rsidR="00214120" w:rsidRDefault="00214120" w:rsidP="00214120">
      <w:pPr>
        <w:pStyle w:val="NoSpacing"/>
        <w:rPr>
          <w:color w:val="000000" w:themeColor="text1"/>
        </w:rPr>
      </w:pPr>
    </w:p>
    <w:p w14:paraId="19EBC288" w14:textId="77777777" w:rsidR="00214120" w:rsidRDefault="00214120" w:rsidP="00214120">
      <w:pPr>
        <w:pStyle w:val="NoSpacing"/>
        <w:rPr>
          <w:color w:val="000000" w:themeColor="text1"/>
        </w:rPr>
      </w:pPr>
    </w:p>
    <w:p w14:paraId="04928D63" w14:textId="77777777" w:rsidR="00214120" w:rsidRDefault="00214120" w:rsidP="00214120">
      <w:pPr>
        <w:pStyle w:val="NoSpacing"/>
        <w:rPr>
          <w:color w:val="000000" w:themeColor="text1"/>
        </w:rPr>
      </w:pPr>
    </w:p>
    <w:p w14:paraId="0546C85D" w14:textId="77777777" w:rsidR="00214120" w:rsidRDefault="00214120" w:rsidP="00214120">
      <w:pPr>
        <w:pStyle w:val="NoSpacing"/>
        <w:rPr>
          <w:color w:val="000000" w:themeColor="text1"/>
        </w:rPr>
      </w:pPr>
    </w:p>
    <w:p w14:paraId="07815082" w14:textId="77777777" w:rsidR="00214120" w:rsidRDefault="00214120" w:rsidP="00214120">
      <w:pPr>
        <w:pStyle w:val="NoSpacing"/>
        <w:rPr>
          <w:color w:val="000000" w:themeColor="text1"/>
        </w:rPr>
      </w:pPr>
    </w:p>
    <w:p w14:paraId="06FA51F6" w14:textId="77777777" w:rsidR="00214120" w:rsidRDefault="00214120" w:rsidP="0021412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color w:val="000000" w:themeColor="text1"/>
        </w:rPr>
        <w:br w:type="page"/>
      </w:r>
    </w:p>
    <w:p w14:paraId="4C270FD3" w14:textId="77777777" w:rsidR="00214120" w:rsidRDefault="00214120" w:rsidP="00214120">
      <w:pPr>
        <w:pStyle w:val="NoSpacing"/>
      </w:pPr>
      <w:r>
        <w:rPr>
          <w:color w:val="000000" w:themeColor="text1"/>
        </w:rPr>
        <w:lastRenderedPageBreak/>
        <w:t xml:space="preserve">Appendix 2:   </w:t>
      </w:r>
      <w:r w:rsidRPr="00F95606">
        <w:rPr>
          <w:color w:val="000000" w:themeColor="text1"/>
        </w:rPr>
        <w:t xml:space="preserve">Patent Vocabulary Ratio </w:t>
      </w:r>
      <w:r>
        <w:rPr>
          <w:color w:val="000000" w:themeColor="text1"/>
        </w:rPr>
        <w:t>in</w:t>
      </w:r>
      <w:r w:rsidRPr="00F95606">
        <w:rPr>
          <w:color w:val="000000" w:themeColor="text1"/>
        </w:rPr>
        <w:t xml:space="preserve"> Exploratory</w:t>
      </w:r>
      <w:r>
        <w:rPr>
          <w:color w:val="000000" w:themeColor="text1"/>
        </w:rPr>
        <w:t xml:space="preserve"> and </w:t>
      </w:r>
      <w:r w:rsidRPr="00F95606">
        <w:rPr>
          <w:color w:val="000000" w:themeColor="text1"/>
        </w:rPr>
        <w:t>Exploitative Tech</w:t>
      </w:r>
      <w:r>
        <w:rPr>
          <w:color w:val="000000" w:themeColor="text1"/>
        </w:rPr>
        <w:t>. Or</w:t>
      </w:r>
      <w:r w:rsidRPr="00F95606">
        <w:rPr>
          <w:color w:val="000000" w:themeColor="text1"/>
        </w:rPr>
        <w:t>ientation</w:t>
      </w:r>
      <w:r>
        <w:rPr>
          <w:noProof/>
        </w:rPr>
        <w:drawing>
          <wp:inline distT="0" distB="0" distL="0" distR="0" wp14:anchorId="34F90AD2" wp14:editId="5120EB10">
            <wp:extent cx="6045200" cy="5279651"/>
            <wp:effectExtent l="0" t="0" r="0" b="0"/>
            <wp:docPr id="1715404916" name="Picture 1" descr="A graph of a number of people  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404916" name="Picture 1" descr="A graph of a number of people  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283" cy="5284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6FA1B" w14:textId="77777777" w:rsidR="00214120" w:rsidRDefault="00214120" w:rsidP="00214120">
      <w:pPr>
        <w:pStyle w:val="NoSpacing"/>
        <w:rPr>
          <w:color w:val="000000" w:themeColor="text1"/>
        </w:rPr>
      </w:pPr>
    </w:p>
    <w:p w14:paraId="6805993A" w14:textId="77777777" w:rsidR="00214120" w:rsidRDefault="00214120" w:rsidP="00214120">
      <w:pPr>
        <w:pStyle w:val="NoSpacing"/>
        <w:rPr>
          <w:color w:val="000000" w:themeColor="text1"/>
        </w:rPr>
      </w:pPr>
    </w:p>
    <w:p w14:paraId="39D4217C" w14:textId="77777777" w:rsidR="00214120" w:rsidRDefault="00214120" w:rsidP="00214120">
      <w:pPr>
        <w:pStyle w:val="NoSpacing"/>
        <w:rPr>
          <w:color w:val="000000" w:themeColor="text1"/>
        </w:rPr>
      </w:pPr>
    </w:p>
    <w:p w14:paraId="1A155C9A" w14:textId="77777777" w:rsidR="00214120" w:rsidRDefault="00214120" w:rsidP="00214120">
      <w:pPr>
        <w:pStyle w:val="NoSpacing"/>
        <w:rPr>
          <w:color w:val="000000" w:themeColor="text1"/>
        </w:rPr>
      </w:pPr>
    </w:p>
    <w:p w14:paraId="408E4F85" w14:textId="77777777" w:rsidR="00214120" w:rsidRDefault="00214120" w:rsidP="00214120">
      <w:pPr>
        <w:pStyle w:val="NoSpacing"/>
        <w:rPr>
          <w:color w:val="000000" w:themeColor="text1"/>
        </w:rPr>
      </w:pPr>
    </w:p>
    <w:p w14:paraId="2E8D7769" w14:textId="77777777" w:rsidR="00214120" w:rsidRDefault="00214120" w:rsidP="00214120">
      <w:pPr>
        <w:pStyle w:val="NoSpacing"/>
        <w:rPr>
          <w:color w:val="000000" w:themeColor="text1"/>
        </w:rPr>
      </w:pPr>
    </w:p>
    <w:p w14:paraId="042AC5AC" w14:textId="77777777" w:rsidR="00214120" w:rsidRDefault="00214120" w:rsidP="00214120">
      <w:pPr>
        <w:pStyle w:val="NoSpacing"/>
        <w:rPr>
          <w:color w:val="000000" w:themeColor="text1"/>
        </w:rPr>
      </w:pPr>
    </w:p>
    <w:p w14:paraId="77EE18BE" w14:textId="77777777" w:rsidR="00214120" w:rsidRDefault="00214120" w:rsidP="00214120">
      <w:pPr>
        <w:pStyle w:val="NoSpacing"/>
        <w:rPr>
          <w:color w:val="000000" w:themeColor="text1"/>
        </w:rPr>
      </w:pPr>
    </w:p>
    <w:p w14:paraId="0438393F" w14:textId="77777777" w:rsidR="00214120" w:rsidRDefault="00214120" w:rsidP="00214120">
      <w:pPr>
        <w:pStyle w:val="NoSpacing"/>
        <w:rPr>
          <w:color w:val="000000" w:themeColor="text1"/>
        </w:rPr>
      </w:pPr>
    </w:p>
    <w:p w14:paraId="7BF8E20D" w14:textId="77777777" w:rsidR="00214120" w:rsidRDefault="00214120" w:rsidP="00214120">
      <w:pPr>
        <w:pStyle w:val="NoSpacing"/>
        <w:rPr>
          <w:color w:val="000000" w:themeColor="text1"/>
        </w:rPr>
      </w:pPr>
    </w:p>
    <w:p w14:paraId="16050775" w14:textId="77777777" w:rsidR="00214120" w:rsidRDefault="00214120" w:rsidP="00214120">
      <w:pPr>
        <w:pStyle w:val="NoSpacing"/>
        <w:rPr>
          <w:color w:val="000000" w:themeColor="text1"/>
        </w:rPr>
      </w:pPr>
    </w:p>
    <w:p w14:paraId="59FBDB5C" w14:textId="77777777" w:rsidR="00214120" w:rsidRDefault="00214120" w:rsidP="00214120">
      <w:pPr>
        <w:pStyle w:val="NoSpacing"/>
        <w:rPr>
          <w:color w:val="000000" w:themeColor="text1"/>
        </w:rPr>
      </w:pPr>
    </w:p>
    <w:p w14:paraId="2E1B39AE" w14:textId="77777777" w:rsidR="00214120" w:rsidRDefault="00214120" w:rsidP="00214120">
      <w:pPr>
        <w:pStyle w:val="NoSpacing"/>
        <w:rPr>
          <w:color w:val="000000" w:themeColor="text1"/>
        </w:rPr>
      </w:pPr>
    </w:p>
    <w:p w14:paraId="65809935" w14:textId="77777777" w:rsidR="00214120" w:rsidRDefault="00214120" w:rsidP="00214120">
      <w:pPr>
        <w:pStyle w:val="NoSpacing"/>
        <w:rPr>
          <w:color w:val="000000" w:themeColor="text1"/>
        </w:rPr>
      </w:pPr>
    </w:p>
    <w:p w14:paraId="11826DA8" w14:textId="77777777" w:rsidR="00214120" w:rsidRDefault="00214120" w:rsidP="00214120">
      <w:pPr>
        <w:pStyle w:val="NoSpacing"/>
        <w:rPr>
          <w:color w:val="000000" w:themeColor="text1"/>
        </w:rPr>
      </w:pPr>
    </w:p>
    <w:p w14:paraId="53B592FB" w14:textId="77777777" w:rsidR="00214120" w:rsidRDefault="00214120" w:rsidP="00214120">
      <w:pPr>
        <w:pStyle w:val="NoSpacing"/>
        <w:rPr>
          <w:color w:val="000000" w:themeColor="text1"/>
        </w:rPr>
      </w:pPr>
    </w:p>
    <w:p w14:paraId="77D495ED" w14:textId="77777777" w:rsidR="00214120" w:rsidRDefault="00214120" w:rsidP="00214120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color w:val="000000" w:themeColor="text1"/>
        </w:rPr>
        <w:br w:type="page"/>
      </w:r>
    </w:p>
    <w:p w14:paraId="318890C5" w14:textId="77777777" w:rsidR="00214120" w:rsidRDefault="00214120" w:rsidP="00214120">
      <w:pPr>
        <w:pStyle w:val="NoSpacing"/>
      </w:pPr>
      <w:r>
        <w:rPr>
          <w:color w:val="000000" w:themeColor="text1"/>
        </w:rPr>
        <w:lastRenderedPageBreak/>
        <w:t xml:space="preserve">Appendix 3: </w:t>
      </w:r>
      <w:r w:rsidRPr="00F95606">
        <w:rPr>
          <w:color w:val="000000" w:themeColor="text1"/>
        </w:rPr>
        <w:t>China–India Ratios in OECD and International Partnership Structure</w:t>
      </w:r>
      <w:r>
        <w:rPr>
          <w:noProof/>
        </w:rPr>
        <w:drawing>
          <wp:inline distT="0" distB="0" distL="0" distR="0" wp14:anchorId="76E6974E" wp14:editId="07478B04">
            <wp:extent cx="5949950" cy="5226050"/>
            <wp:effectExtent l="0" t="0" r="0" b="0"/>
            <wp:docPr id="698922821" name="Picture 2" descr="A graph with blue and white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922821" name="Picture 2" descr="A graph with blue and white text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522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6B027" w14:textId="77777777" w:rsidR="00214120" w:rsidRDefault="00214120" w:rsidP="00214120">
      <w:pPr>
        <w:pStyle w:val="NoSpacing"/>
        <w:rPr>
          <w:color w:val="000000" w:themeColor="text1"/>
        </w:rPr>
      </w:pPr>
    </w:p>
    <w:p w14:paraId="6A40B928" w14:textId="77777777" w:rsidR="00214120" w:rsidRDefault="00214120" w:rsidP="00214120">
      <w:pPr>
        <w:pStyle w:val="NoSpacing"/>
        <w:rPr>
          <w:color w:val="000000" w:themeColor="text1"/>
        </w:rPr>
      </w:pPr>
    </w:p>
    <w:p w14:paraId="500C3070" w14:textId="77777777" w:rsidR="00214120" w:rsidRPr="00DE7760" w:rsidRDefault="00214120" w:rsidP="00214120">
      <w:pPr>
        <w:pStyle w:val="NoSpacing"/>
        <w:rPr>
          <w:color w:val="000000" w:themeColor="text1"/>
        </w:rPr>
      </w:pPr>
    </w:p>
    <w:p w14:paraId="7EAB0AA8" w14:textId="77777777" w:rsidR="00214120" w:rsidRPr="00F526F9" w:rsidRDefault="00214120" w:rsidP="00214120"/>
    <w:p w14:paraId="249B4CB6" w14:textId="77777777" w:rsidR="00DE6AE2" w:rsidRDefault="00DE6AE2"/>
    <w:sectPr w:rsidR="00DE6AE2" w:rsidSect="00214120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14120"/>
    <w:rsid w:val="00195413"/>
    <w:rsid w:val="00214120"/>
    <w:rsid w:val="003D0186"/>
    <w:rsid w:val="007278E4"/>
    <w:rsid w:val="00A3738C"/>
    <w:rsid w:val="00BC6C35"/>
    <w:rsid w:val="00BE426B"/>
    <w:rsid w:val="00CB270D"/>
    <w:rsid w:val="00CF7583"/>
    <w:rsid w:val="00DE6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B92B2F"/>
  <w15:chartTrackingRefBased/>
  <w15:docId w15:val="{9CCFA9BB-6A4B-4922-8F33-FF133DC681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4120"/>
    <w:pPr>
      <w:spacing w:line="259" w:lineRule="auto"/>
    </w:pPr>
    <w:rPr>
      <w:rFonts w:eastAsiaTheme="minorEastAsia"/>
      <w:kern w:val="0"/>
      <w:sz w:val="22"/>
      <w:szCs w:val="22"/>
      <w:lang w:val="en-GB" w:eastAsia="zh-CN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214120"/>
    <w:pPr>
      <w:keepNext/>
      <w:keepLines/>
      <w:spacing w:before="360" w:after="80" w:line="278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:lang w:val="en-US" w:eastAsia="en-US"/>
      <w14:ligatures w14:val="standardContextual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14120"/>
    <w:pPr>
      <w:keepNext/>
      <w:keepLines/>
      <w:spacing w:before="160" w:after="80" w:line="278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:lang w:val="en-US" w:eastAsia="en-US"/>
      <w14:ligatures w14:val="standardContextual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14120"/>
    <w:pPr>
      <w:keepNext/>
      <w:keepLines/>
      <w:spacing w:before="160" w:after="80" w:line="278" w:lineRule="auto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:lang w:val="en-US" w:eastAsia="en-US"/>
      <w14:ligatures w14:val="standardContextual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14120"/>
    <w:pPr>
      <w:keepNext/>
      <w:keepLines/>
      <w:spacing w:before="80" w:after="40" w:line="278" w:lineRule="auto"/>
      <w:outlineLvl w:val="3"/>
    </w:pPr>
    <w:rPr>
      <w:rFonts w:eastAsiaTheme="majorEastAsia" w:cstheme="majorBidi"/>
      <w:i/>
      <w:iCs/>
      <w:color w:val="0F4761" w:themeColor="accent1" w:themeShade="BF"/>
      <w:kern w:val="2"/>
      <w:sz w:val="24"/>
      <w:szCs w:val="24"/>
      <w:lang w:val="en-US"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14120"/>
    <w:pPr>
      <w:keepNext/>
      <w:keepLines/>
      <w:spacing w:before="80" w:after="40" w:line="278" w:lineRule="auto"/>
      <w:outlineLvl w:val="4"/>
    </w:pPr>
    <w:rPr>
      <w:rFonts w:eastAsiaTheme="majorEastAsia" w:cstheme="majorBidi"/>
      <w:color w:val="0F4761" w:themeColor="accent1" w:themeShade="BF"/>
      <w:kern w:val="2"/>
      <w:sz w:val="24"/>
      <w:szCs w:val="24"/>
      <w:lang w:val="en-US"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14120"/>
    <w:pPr>
      <w:keepNext/>
      <w:keepLines/>
      <w:spacing w:before="40" w:after="0" w:line="278" w:lineRule="auto"/>
      <w:outlineLvl w:val="5"/>
    </w:pPr>
    <w:rPr>
      <w:rFonts w:eastAsiaTheme="majorEastAsia" w:cstheme="majorBidi"/>
      <w:i/>
      <w:iCs/>
      <w:color w:val="595959" w:themeColor="text1" w:themeTint="A6"/>
      <w:kern w:val="2"/>
      <w:sz w:val="24"/>
      <w:szCs w:val="24"/>
      <w:lang w:val="en-US"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14120"/>
    <w:pPr>
      <w:keepNext/>
      <w:keepLines/>
      <w:spacing w:before="40" w:after="0" w:line="278" w:lineRule="auto"/>
      <w:outlineLvl w:val="6"/>
    </w:pPr>
    <w:rPr>
      <w:rFonts w:eastAsiaTheme="majorEastAsia" w:cstheme="majorBidi"/>
      <w:color w:val="595959" w:themeColor="text1" w:themeTint="A6"/>
      <w:kern w:val="2"/>
      <w:sz w:val="24"/>
      <w:szCs w:val="24"/>
      <w:lang w:val="en-US"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14120"/>
    <w:pPr>
      <w:keepNext/>
      <w:keepLines/>
      <w:spacing w:after="0" w:line="278" w:lineRule="auto"/>
      <w:outlineLvl w:val="7"/>
    </w:pPr>
    <w:rPr>
      <w:rFonts w:eastAsiaTheme="majorEastAsia" w:cstheme="majorBidi"/>
      <w:i/>
      <w:iCs/>
      <w:color w:val="272727" w:themeColor="text1" w:themeTint="D8"/>
      <w:kern w:val="2"/>
      <w:sz w:val="24"/>
      <w:szCs w:val="24"/>
      <w:lang w:val="en-US"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14120"/>
    <w:pPr>
      <w:keepNext/>
      <w:keepLines/>
      <w:spacing w:after="0" w:line="278" w:lineRule="auto"/>
      <w:outlineLvl w:val="8"/>
    </w:pPr>
    <w:rPr>
      <w:rFonts w:eastAsiaTheme="majorEastAsia" w:cstheme="majorBidi"/>
      <w:color w:val="272727" w:themeColor="text1" w:themeTint="D8"/>
      <w:kern w:val="2"/>
      <w:sz w:val="24"/>
      <w:szCs w:val="24"/>
      <w:lang w:val="en-US"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1412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1412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1412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1412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1412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1412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1412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1412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1412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1412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21412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14120"/>
    <w:pPr>
      <w:numPr>
        <w:ilvl w:val="1"/>
      </w:numPr>
      <w:spacing w:line="278" w:lineRule="auto"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:lang w:val="en-US"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21412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14120"/>
    <w:pPr>
      <w:spacing w:before="160" w:line="278" w:lineRule="auto"/>
      <w:jc w:val="center"/>
    </w:pPr>
    <w:rPr>
      <w:rFonts w:eastAsiaTheme="minorHAnsi"/>
      <w:i/>
      <w:iCs/>
      <w:color w:val="404040" w:themeColor="text1" w:themeTint="BF"/>
      <w:kern w:val="2"/>
      <w:sz w:val="24"/>
      <w:szCs w:val="24"/>
      <w:lang w:val="en-US"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21412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14120"/>
    <w:pPr>
      <w:spacing w:line="278" w:lineRule="auto"/>
      <w:ind w:left="720"/>
      <w:contextualSpacing/>
    </w:pPr>
    <w:rPr>
      <w:rFonts w:eastAsiaTheme="minorHAnsi"/>
      <w:kern w:val="2"/>
      <w:sz w:val="24"/>
      <w:szCs w:val="24"/>
      <w:lang w:val="en-US"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21412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1412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78" w:lineRule="auto"/>
      <w:ind w:left="864" w:right="864"/>
      <w:jc w:val="center"/>
    </w:pPr>
    <w:rPr>
      <w:rFonts w:eastAsiaTheme="minorHAnsi"/>
      <w:i/>
      <w:iCs/>
      <w:color w:val="0F4761" w:themeColor="accent1" w:themeShade="BF"/>
      <w:kern w:val="2"/>
      <w:sz w:val="24"/>
      <w:szCs w:val="24"/>
      <w:lang w:val="en-US"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1412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14120"/>
    <w:rPr>
      <w:b/>
      <w:bCs/>
      <w:smallCaps/>
      <w:color w:val="0F4761" w:themeColor="accent1" w:themeShade="BF"/>
      <w:spacing w:val="5"/>
    </w:rPr>
  </w:style>
  <w:style w:type="paragraph" w:styleId="NoSpacing">
    <w:name w:val="No Spacing"/>
    <w:aliases w:val="图表"/>
    <w:link w:val="NoSpacingChar"/>
    <w:uiPriority w:val="1"/>
    <w:qFormat/>
    <w:rsid w:val="00214120"/>
    <w:pPr>
      <w:spacing w:after="0" w:line="240" w:lineRule="auto"/>
    </w:pPr>
    <w:rPr>
      <w:rFonts w:ascii="Times New Roman" w:eastAsiaTheme="minorEastAsia" w:hAnsi="Times New Roman" w:cs="Times New Roman"/>
      <w:kern w:val="0"/>
      <w:lang w:val="en-GB" w:eastAsia="zh-CN"/>
      <w14:ligatures w14:val="none"/>
    </w:rPr>
  </w:style>
  <w:style w:type="character" w:customStyle="1" w:styleId="NoSpacingChar">
    <w:name w:val="No Spacing Char"/>
    <w:aliases w:val="图表 Char"/>
    <w:basedOn w:val="DefaultParagraphFont"/>
    <w:link w:val="NoSpacing"/>
    <w:uiPriority w:val="1"/>
    <w:qFormat/>
    <w:rsid w:val="00214120"/>
    <w:rPr>
      <w:rFonts w:ascii="Times New Roman" w:eastAsiaTheme="minorEastAsia" w:hAnsi="Times New Roman" w:cs="Times New Roman"/>
      <w:kern w:val="0"/>
      <w:lang w:val="en-GB" w:eastAsia="zh-C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Charts!$A$40</c:f>
              <c:strCache>
                <c:ptCount val="1"/>
                <c:pt idx="0">
                  <c:v>China</c:v>
                </c:pt>
              </c:strCache>
            </c:strRef>
          </c:tx>
          <c:spPr>
            <a:pattFill prst="ltUpDiag">
              <a:fgClr>
                <a:schemeClr val="tx1">
                  <a:lumMod val="50000"/>
                  <a:lumOff val="50000"/>
                </a:schemeClr>
              </a:fgClr>
              <a:bgClr>
                <a:schemeClr val="bg1"/>
              </a:bgClr>
            </a:pattFill>
          </c:spPr>
          <c:invertIfNegative val="0"/>
          <c:dLbls>
            <c:numFmt formatCode="0%" sourceLinked="0"/>
            <c:spPr>
              <a:solidFill>
                <a:schemeClr val="bg1"/>
              </a:solidFill>
            </c:spPr>
            <c:txPr>
              <a:bodyPr rot="0" vert="eaVert" wrap="square" lIns="38100" tIns="19050" rIns="38100" bIns="19050" anchor="ctr">
                <a:spAutoFit/>
              </a:bodyPr>
              <a:lstStyle/>
              <a:p>
                <a:pPr>
                  <a:defRPr/>
                </a:pPr>
                <a:endParaRPr lang="en-US"/>
              </a:p>
            </c:txPr>
            <c:showLegendKey val="0"/>
            <c:showVal val="0"/>
            <c:showCatName val="0"/>
            <c:showSerName val="1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0"/>
              </c:ext>
            </c:extLst>
          </c:dLbls>
          <c:cat>
            <c:strRef>
              <c:f>Charts!$B$39:$F$39</c:f>
              <c:strCache>
                <c:ptCount val="5"/>
                <c:pt idx="0">
                  <c:v>Firms</c:v>
                </c:pt>
                <c:pt idx="1">
                  <c:v>Non-firms </c:v>
                </c:pt>
                <c:pt idx="2">
                  <c:v>Foreign </c:v>
                </c:pt>
                <c:pt idx="3">
                  <c:v>US</c:v>
                </c:pt>
                <c:pt idx="4">
                  <c:v>Domestic</c:v>
                </c:pt>
              </c:strCache>
            </c:strRef>
          </c:cat>
          <c:val>
            <c:numRef>
              <c:f>Charts!$B$40:$F$40</c:f>
              <c:numCache>
                <c:formatCode>0%</c:formatCode>
                <c:ptCount val="5"/>
                <c:pt idx="0">
                  <c:v>0.60449142925401655</c:v>
                </c:pt>
                <c:pt idx="1">
                  <c:v>0.39550857074598339</c:v>
                </c:pt>
                <c:pt idx="2">
                  <c:v>0.52409962372334706</c:v>
                </c:pt>
                <c:pt idx="3">
                  <c:v>0.16747297378008721</c:v>
                </c:pt>
                <c:pt idx="4">
                  <c:v>0.51328913575822732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C05-4A18-B937-4FF6492868ED}"/>
            </c:ext>
          </c:extLst>
        </c:ser>
        <c:ser>
          <c:idx val="1"/>
          <c:order val="1"/>
          <c:tx>
            <c:strRef>
              <c:f>Charts!$A$41</c:f>
              <c:strCache>
                <c:ptCount val="1"/>
                <c:pt idx="0">
                  <c:v>India</c:v>
                </c:pt>
              </c:strCache>
            </c:strRef>
          </c:tx>
          <c:spPr>
            <a:pattFill prst="dkDnDiag">
              <a:fgClr>
                <a:schemeClr val="tx1">
                  <a:lumMod val="50000"/>
                  <a:lumOff val="50000"/>
                </a:schemeClr>
              </a:fgClr>
              <a:bgClr>
                <a:schemeClr val="bg1"/>
              </a:bgClr>
            </a:pattFill>
          </c:spPr>
          <c:invertIfNegative val="0"/>
          <c:dPt>
            <c:idx val="1"/>
            <c:invertIfNegative val="0"/>
            <c:bubble3D val="0"/>
            <c:spPr>
              <a:pattFill prst="dkDnDiag">
                <a:fgClr>
                  <a:schemeClr val="tx1">
                    <a:lumMod val="50000"/>
                    <a:lumOff val="50000"/>
                  </a:schemeClr>
                </a:fgClr>
                <a:bgClr>
                  <a:schemeClr val="bg1"/>
                </a:bgClr>
              </a:pattFill>
              <a:ln>
                <a:solidFill>
                  <a:schemeClr val="accent1"/>
                </a:solidFill>
              </a:ln>
            </c:spPr>
            <c:extLst>
              <c:ext xmlns:c16="http://schemas.microsoft.com/office/drawing/2014/chart" uri="{C3380CC4-5D6E-409C-BE32-E72D297353CC}">
                <c16:uniqueId val="{00000002-5C05-4A18-B937-4FF6492868ED}"/>
              </c:ext>
            </c:extLst>
          </c:dPt>
          <c:dLbls>
            <c:dLbl>
              <c:idx val="0"/>
              <c:spPr>
                <a:solidFill>
                  <a:schemeClr val="bg1"/>
                </a:solidFill>
              </c:spPr>
              <c:txPr>
                <a:bodyPr rot="0" vert="eaVert"/>
                <a:lstStyle/>
                <a:p>
                  <a:pPr>
                    <a:defRPr>
                      <a:solidFill>
                        <a:schemeClr val="tx1"/>
                      </a:solidFill>
                    </a:defRPr>
                  </a:pPr>
                  <a:endParaRPr lang="en-US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3-5C05-4A18-B937-4FF6492868ED}"/>
                </c:ext>
              </c:extLst>
            </c:dLbl>
            <c:dLbl>
              <c:idx val="1"/>
              <c:spPr>
                <a:solidFill>
                  <a:schemeClr val="bg1"/>
                </a:solidFill>
              </c:spPr>
              <c:txPr>
                <a:bodyPr rot="0" vert="eaVert"/>
                <a:lstStyle/>
                <a:p>
                  <a:pPr>
                    <a:defRPr>
                      <a:solidFill>
                        <a:schemeClr val="tx1"/>
                      </a:solidFill>
                    </a:defRPr>
                  </a:pPr>
                  <a:endParaRPr lang="en-US"/>
                </a:p>
              </c:txPr>
              <c:showLegendKey val="0"/>
              <c:showVal val="0"/>
              <c:showCatName val="0"/>
              <c:showSerName val="1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2-5C05-4A18-B937-4FF6492868E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vert="eaVert"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chemeClr val="tx1"/>
                    </a:solidFill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1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Charts!$B$39:$F$39</c:f>
              <c:strCache>
                <c:ptCount val="5"/>
                <c:pt idx="0">
                  <c:v>Firms</c:v>
                </c:pt>
                <c:pt idx="1">
                  <c:v>Non-firms </c:v>
                </c:pt>
                <c:pt idx="2">
                  <c:v>Foreign </c:v>
                </c:pt>
                <c:pt idx="3">
                  <c:v>US</c:v>
                </c:pt>
                <c:pt idx="4">
                  <c:v>Domestic</c:v>
                </c:pt>
              </c:strCache>
            </c:strRef>
          </c:cat>
          <c:val>
            <c:numRef>
              <c:f>Charts!$B$41:$F$41</c:f>
              <c:numCache>
                <c:formatCode>0%</c:formatCode>
                <c:ptCount val="5"/>
                <c:pt idx="0">
                  <c:v>0.88982915535685769</c:v>
                </c:pt>
                <c:pt idx="1">
                  <c:v>0.11017084464314227</c:v>
                </c:pt>
                <c:pt idx="2">
                  <c:v>1.027462877215392</c:v>
                </c:pt>
                <c:pt idx="3">
                  <c:v>0.45521315663420087</c:v>
                </c:pt>
                <c:pt idx="4">
                  <c:v>0.18409707807759859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C05-4A18-B937-4FF6492868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0"/>
        <c:gapDepth val="56"/>
        <c:shape val="cylinder"/>
        <c:axId val="284254592"/>
        <c:axId val="284256128"/>
        <c:axId val="0"/>
      </c:bar3DChart>
      <c:catAx>
        <c:axId val="2842545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low"/>
        <c:spPr>
          <a:ln/>
        </c:spPr>
        <c:crossAx val="284256128"/>
        <c:crosses val="autoZero"/>
        <c:auto val="1"/>
        <c:lblAlgn val="ctr"/>
        <c:lblOffset val="100"/>
        <c:noMultiLvlLbl val="0"/>
      </c:catAx>
      <c:valAx>
        <c:axId val="2842561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284254592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en-US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182</Words>
  <Characters>1039</Characters>
  <Application>Microsoft Office Word</Application>
  <DocSecurity>0</DocSecurity>
  <Lines>8</Lines>
  <Paragraphs>2</Paragraphs>
  <ScaleCrop>false</ScaleCrop>
  <Company>Springer Nature</Company>
  <LinksUpToDate>false</LinksUpToDate>
  <CharactersWithSpaces>1219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Nilesh Nawale</dc:creator>
  <cp:keywords/>
  <dc:description/>
  <cp:lastModifiedBy>Nilesh Nawale</cp:lastModifiedBy>
  <cp:revision>1</cp:revision>
  <dcterms:created xsi:type="dcterms:W3CDTF">2026-05-18T08:37:00Z</dcterms:created>
  <dcterms:modified xsi:type="dcterms:W3CDTF">2026-05-18T08:38:00Z</dcterms:modified>
</cp:coreProperties>
</file>