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998D4" w14:textId="77777777" w:rsidR="004A5F9B" w:rsidRPr="008F7D2E" w:rsidRDefault="004A5F9B" w:rsidP="004A5F9B">
      <w:pPr>
        <w:pStyle w:val="Heading1"/>
        <w:spacing w:line="480" w:lineRule="auto"/>
        <w:jc w:val="both"/>
        <w:rPr>
          <w:rFonts w:ascii="Times New Roman" w:hAnsi="Times New Roman" w:cs="Times New Roman"/>
        </w:rPr>
      </w:pPr>
      <w:r w:rsidRPr="008F7D2E">
        <w:rPr>
          <w:rFonts w:ascii="Times New Roman" w:hAnsi="Times New Roman" w:cs="Times New Roman"/>
        </w:rPr>
        <w:t>Extended data</w:t>
      </w:r>
    </w:p>
    <w:p w14:paraId="72B8C5EB"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0" w:name="_Ref184376914"/>
      <w:r w:rsidRPr="008F7D2E">
        <w:rPr>
          <w:rFonts w:ascii="Times New Roman" w:hAnsi="Times New Roman" w:cs="Times New Roman"/>
          <w:i w:val="0"/>
          <w:iCs w:val="0"/>
        </w:rPr>
        <w:t xml:space="preserve">Extended Data Fig. </w:t>
      </w:r>
      <w:r w:rsidRPr="008F7D2E">
        <w:rPr>
          <w:rFonts w:ascii="Times New Roman" w:hAnsi="Times New Roman" w:cs="Times New Roman"/>
          <w:i w:val="0"/>
          <w:iCs w:val="0"/>
        </w:rPr>
        <w:fldChar w:fldCharType="begin"/>
      </w:r>
      <w:r w:rsidRPr="008F7D2E">
        <w:rPr>
          <w:rFonts w:ascii="Times New Roman" w:hAnsi="Times New Roman" w:cs="Times New Roman"/>
          <w:i w:val="0"/>
          <w:iCs w:val="0"/>
        </w:rPr>
        <w:instrText xml:space="preserve"> SEQ Extended_Data \* ARABIC </w:instrText>
      </w:r>
      <w:r w:rsidRPr="008F7D2E">
        <w:rPr>
          <w:rFonts w:ascii="Times New Roman" w:hAnsi="Times New Roman" w:cs="Times New Roman"/>
          <w:i w:val="0"/>
          <w:iCs w:val="0"/>
        </w:rPr>
        <w:fldChar w:fldCharType="separate"/>
      </w:r>
      <w:r w:rsidRPr="008F7D2E">
        <w:rPr>
          <w:rFonts w:ascii="Times New Roman" w:hAnsi="Times New Roman" w:cs="Times New Roman"/>
          <w:i w:val="0"/>
          <w:iCs w:val="0"/>
          <w:noProof/>
        </w:rPr>
        <w:t>1</w:t>
      </w:r>
      <w:r w:rsidRPr="008F7D2E">
        <w:rPr>
          <w:rFonts w:ascii="Times New Roman" w:hAnsi="Times New Roman" w:cs="Times New Roman"/>
          <w:i w:val="0"/>
          <w:iCs w:val="0"/>
        </w:rPr>
        <w:fldChar w:fldCharType="end"/>
      </w:r>
      <w:bookmarkEnd w:id="0"/>
      <w:r w:rsidRPr="008F7D2E">
        <w:rPr>
          <w:rFonts w:ascii="Times New Roman" w:hAnsi="Times New Roman" w:cs="Times New Roman"/>
          <w:i w:val="0"/>
          <w:iCs w:val="0"/>
        </w:rPr>
        <w:t xml:space="preserve"> │</w:t>
      </w:r>
      <w:r w:rsidRPr="008F7D2E">
        <w:rPr>
          <w:rFonts w:ascii="Times New Roman" w:eastAsia="Times New Roman" w:hAnsi="Times New Roman" w:cs="Times New Roman"/>
          <w:i w:val="0"/>
          <w:iCs w:val="0"/>
        </w:rPr>
        <w:t>Trial design for the monotherapy cohort.</w:t>
      </w:r>
    </w:p>
    <w:p w14:paraId="358DBE76" w14:textId="77777777" w:rsidR="004A5F9B" w:rsidRPr="008F7D2E" w:rsidRDefault="004A5F9B" w:rsidP="004A5F9B">
      <w:pPr>
        <w:spacing w:line="480" w:lineRule="auto"/>
        <w:jc w:val="both"/>
        <w:rPr>
          <w:rFonts w:ascii="Times New Roman" w:hAnsi="Times New Roman" w:cs="Times New Roman"/>
          <w:sz w:val="22"/>
          <w:szCs w:val="22"/>
        </w:rPr>
      </w:pPr>
      <w:r w:rsidRPr="008F7D2E">
        <w:rPr>
          <w:rFonts w:ascii="Times New Roman" w:hAnsi="Times New Roman" w:cs="Times New Roman"/>
          <w:sz w:val="22"/>
          <w:szCs w:val="22"/>
        </w:rPr>
        <w:t>HLA, human leukocyte antigen;</w:t>
      </w:r>
      <w:r w:rsidRPr="008F7D2E">
        <w:rPr>
          <w:rFonts w:ascii="Times New Roman" w:hAnsi="Times New Roman" w:cs="Times New Roman"/>
        </w:rPr>
        <w:t xml:space="preserve"> MAGE-A4, </w:t>
      </w:r>
      <w:r w:rsidRPr="008F7D2E">
        <w:rPr>
          <w:rStyle w:val="Heading2Char"/>
          <w:rFonts w:ascii="Times New Roman" w:eastAsiaTheme="minorEastAsia" w:hAnsi="Times New Roman" w:cs="Times New Roman"/>
          <w:bCs/>
          <w:szCs w:val="24"/>
        </w:rPr>
        <w:t xml:space="preserve">melanoma-associated antigen A4; </w:t>
      </w:r>
      <w:proofErr w:type="spellStart"/>
      <w:r w:rsidRPr="008F7D2E">
        <w:rPr>
          <w:rStyle w:val="Heading2Char"/>
          <w:rFonts w:ascii="Times New Roman" w:eastAsiaTheme="minorEastAsia" w:hAnsi="Times New Roman" w:cs="Times New Roman"/>
          <w:bCs/>
          <w:szCs w:val="24"/>
        </w:rPr>
        <w:t>uza</w:t>
      </w:r>
      <w:proofErr w:type="spellEnd"/>
      <w:r w:rsidRPr="008F7D2E">
        <w:rPr>
          <w:rStyle w:val="Heading2Char"/>
          <w:rFonts w:ascii="Times New Roman" w:eastAsiaTheme="minorEastAsia" w:hAnsi="Times New Roman" w:cs="Times New Roman"/>
          <w:bCs/>
          <w:szCs w:val="24"/>
        </w:rPr>
        <w:t xml:space="preserve">-cel, </w:t>
      </w:r>
      <w:proofErr w:type="spellStart"/>
      <w:r w:rsidRPr="008F7D2E">
        <w:rPr>
          <w:rStyle w:val="Heading2Char"/>
          <w:rFonts w:ascii="Times New Roman" w:eastAsiaTheme="minorEastAsia" w:hAnsi="Times New Roman" w:cs="Times New Roman"/>
          <w:bCs/>
          <w:szCs w:val="24"/>
        </w:rPr>
        <w:t>uzatresgene</w:t>
      </w:r>
      <w:proofErr w:type="spellEnd"/>
      <w:r w:rsidRPr="008F7D2E">
        <w:rPr>
          <w:rStyle w:val="Heading2Char"/>
          <w:rFonts w:ascii="Times New Roman" w:eastAsiaTheme="minorEastAsia" w:hAnsi="Times New Roman" w:cs="Times New Roman"/>
          <w:bCs/>
          <w:szCs w:val="24"/>
        </w:rPr>
        <w:t xml:space="preserve"> </w:t>
      </w:r>
      <w:proofErr w:type="spellStart"/>
      <w:r w:rsidRPr="008F7D2E">
        <w:rPr>
          <w:rStyle w:val="Heading2Char"/>
          <w:rFonts w:ascii="Times New Roman" w:eastAsiaTheme="minorEastAsia" w:hAnsi="Times New Roman" w:cs="Times New Roman"/>
          <w:bCs/>
          <w:szCs w:val="24"/>
        </w:rPr>
        <w:t>autoleucel</w:t>
      </w:r>
      <w:proofErr w:type="spellEnd"/>
      <w:r w:rsidRPr="008F7D2E">
        <w:rPr>
          <w:rFonts w:ascii="Times New Roman" w:hAnsi="Times New Roman" w:cs="Times New Roman"/>
          <w:sz w:val="22"/>
          <w:szCs w:val="22"/>
        </w:rPr>
        <w:t>.</w:t>
      </w:r>
    </w:p>
    <w:p w14:paraId="19D07289" w14:textId="77777777" w:rsidR="004A5F9B" w:rsidRPr="008F7D2E" w:rsidRDefault="004A5F9B" w:rsidP="004A5F9B">
      <w:pPr>
        <w:spacing w:line="480" w:lineRule="auto"/>
        <w:jc w:val="both"/>
        <w:rPr>
          <w:rFonts w:ascii="Times New Roman" w:hAnsi="Times New Roman" w:cs="Times New Roman"/>
          <w:iCs/>
        </w:rPr>
      </w:pPr>
      <w:r w:rsidRPr="008F7D2E">
        <w:rPr>
          <w:rFonts w:ascii="Times New Roman" w:hAnsi="Times New Roman" w:cs="Times New Roman"/>
          <w:iCs/>
          <w:noProof/>
        </w:rPr>
        <w:drawing>
          <wp:inline distT="0" distB="0" distL="0" distR="0" wp14:anchorId="45D1AC03" wp14:editId="17C0C58F">
            <wp:extent cx="5943600" cy="2445385"/>
            <wp:effectExtent l="0" t="0" r="0" b="0"/>
            <wp:docPr id="12482923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445385"/>
                    </a:xfrm>
                    <a:prstGeom prst="rect">
                      <a:avLst/>
                    </a:prstGeom>
                    <a:noFill/>
                    <a:ln>
                      <a:noFill/>
                    </a:ln>
                  </pic:spPr>
                </pic:pic>
              </a:graphicData>
            </a:graphic>
          </wp:inline>
        </w:drawing>
      </w:r>
    </w:p>
    <w:p w14:paraId="6CC6B80D" w14:textId="77777777" w:rsidR="004A5F9B" w:rsidRPr="008F7D2E" w:rsidRDefault="004A5F9B" w:rsidP="004A5F9B">
      <w:pPr>
        <w:spacing w:line="480" w:lineRule="auto"/>
        <w:jc w:val="both"/>
        <w:rPr>
          <w:rFonts w:ascii="Times New Roman" w:eastAsiaTheme="majorEastAsia" w:hAnsi="Times New Roman" w:cs="Times New Roman"/>
          <w:b/>
          <w:i/>
          <w:iCs/>
          <w:sz w:val="22"/>
          <w:szCs w:val="18"/>
        </w:rPr>
      </w:pPr>
      <w:bookmarkStart w:id="1" w:name="_Ref184383603"/>
      <w:r w:rsidRPr="008F7D2E">
        <w:rPr>
          <w:rFonts w:ascii="Times New Roman" w:hAnsi="Times New Roman" w:cs="Times New Roman"/>
        </w:rPr>
        <w:br w:type="page"/>
      </w:r>
    </w:p>
    <w:p w14:paraId="1E8FB31A" w14:textId="77777777" w:rsidR="004A5F9B" w:rsidRPr="008F7D2E" w:rsidRDefault="004A5F9B" w:rsidP="004A5F9B">
      <w:pPr>
        <w:pStyle w:val="Caption"/>
        <w:spacing w:line="480" w:lineRule="auto"/>
        <w:jc w:val="both"/>
        <w:rPr>
          <w:rFonts w:ascii="Times New Roman" w:hAnsi="Times New Roman" w:cs="Times New Roman"/>
          <w:bCs/>
          <w:i w:val="0"/>
          <w:iCs w:val="0"/>
        </w:rPr>
      </w:pPr>
      <w:bookmarkStart w:id="2" w:name="_Ref184391027"/>
      <w:r w:rsidRPr="008F7D2E">
        <w:rPr>
          <w:rFonts w:ascii="Times New Roman" w:hAnsi="Times New Roman" w:cs="Times New Roman"/>
          <w:i w:val="0"/>
          <w:iCs w:val="0"/>
        </w:rPr>
        <w:lastRenderedPageBreak/>
        <w:t xml:space="preserve">Extended Data Fig. </w:t>
      </w:r>
      <w:r w:rsidRPr="008F7D2E">
        <w:rPr>
          <w:rFonts w:ascii="Times New Roman" w:hAnsi="Times New Roman" w:cs="Times New Roman"/>
          <w:i w:val="0"/>
          <w:iCs w:val="0"/>
        </w:rPr>
        <w:fldChar w:fldCharType="begin"/>
      </w:r>
      <w:r w:rsidRPr="008F7D2E">
        <w:rPr>
          <w:rFonts w:ascii="Times New Roman" w:hAnsi="Times New Roman" w:cs="Times New Roman"/>
          <w:i w:val="0"/>
          <w:iCs w:val="0"/>
        </w:rPr>
        <w:instrText xml:space="preserve"> SEQ Extended_Data \* ARABIC </w:instrText>
      </w:r>
      <w:r w:rsidRPr="008F7D2E">
        <w:rPr>
          <w:rFonts w:ascii="Times New Roman" w:hAnsi="Times New Roman" w:cs="Times New Roman"/>
          <w:i w:val="0"/>
          <w:iCs w:val="0"/>
        </w:rPr>
        <w:fldChar w:fldCharType="separate"/>
      </w:r>
      <w:r w:rsidRPr="008F7D2E">
        <w:rPr>
          <w:rFonts w:ascii="Times New Roman" w:hAnsi="Times New Roman" w:cs="Times New Roman"/>
          <w:i w:val="0"/>
          <w:iCs w:val="0"/>
          <w:noProof/>
        </w:rPr>
        <w:t>2</w:t>
      </w:r>
      <w:r w:rsidRPr="008F7D2E">
        <w:rPr>
          <w:rFonts w:ascii="Times New Roman" w:hAnsi="Times New Roman" w:cs="Times New Roman"/>
          <w:i w:val="0"/>
          <w:iCs w:val="0"/>
        </w:rPr>
        <w:fldChar w:fldCharType="end"/>
      </w:r>
      <w:bookmarkEnd w:id="1"/>
      <w:bookmarkEnd w:id="2"/>
      <w:r w:rsidRPr="008F7D2E">
        <w:rPr>
          <w:rFonts w:ascii="Times New Roman" w:hAnsi="Times New Roman" w:cs="Times New Roman"/>
          <w:i w:val="0"/>
          <w:iCs w:val="0"/>
        </w:rPr>
        <w:t xml:space="preserve"> │</w:t>
      </w:r>
      <w:r w:rsidRPr="008F7D2E">
        <w:rPr>
          <w:rFonts w:ascii="Times New Roman" w:hAnsi="Times New Roman" w:cs="Times New Roman"/>
          <w:bCs/>
          <w:i w:val="0"/>
          <w:iCs w:val="0"/>
        </w:rPr>
        <w:t>CONSORT diagram of patient disposition.</w:t>
      </w:r>
    </w:p>
    <w:p w14:paraId="09D6A0F9"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rPr>
        <w:t xml:space="preserve">AE, adverse event; HLA, </w:t>
      </w:r>
      <w:r w:rsidRPr="008F7D2E">
        <w:rPr>
          <w:rStyle w:val="Heading2Char"/>
          <w:rFonts w:ascii="Times New Roman" w:eastAsiaTheme="minorEastAsia" w:hAnsi="Times New Roman" w:cs="Times New Roman"/>
          <w:bCs/>
          <w:szCs w:val="24"/>
        </w:rPr>
        <w:t>human leukocyte antigen</w:t>
      </w:r>
      <w:r w:rsidRPr="008F7D2E">
        <w:rPr>
          <w:rFonts w:ascii="Times New Roman" w:hAnsi="Times New Roman" w:cs="Times New Roman"/>
        </w:rPr>
        <w:t xml:space="preserve">; MAGE-A4, </w:t>
      </w:r>
      <w:r w:rsidRPr="008F7D2E">
        <w:rPr>
          <w:rStyle w:val="Heading2Char"/>
          <w:rFonts w:ascii="Times New Roman" w:eastAsiaTheme="minorEastAsia" w:hAnsi="Times New Roman" w:cs="Times New Roman"/>
          <w:bCs/>
          <w:szCs w:val="24"/>
        </w:rPr>
        <w:t>melanoma-associated antigen A4</w:t>
      </w:r>
      <w:r w:rsidRPr="008F7D2E">
        <w:rPr>
          <w:rFonts w:ascii="Times New Roman" w:hAnsi="Times New Roman" w:cs="Times New Roman"/>
        </w:rPr>
        <w:t xml:space="preserve">; RECIST, Response Evaluation Criteria in Solid Tumors; </w:t>
      </w:r>
      <w:proofErr w:type="spellStart"/>
      <w:r w:rsidRPr="008F7D2E">
        <w:rPr>
          <w:rStyle w:val="Heading2Char"/>
          <w:rFonts w:ascii="Times New Roman" w:eastAsiaTheme="minorEastAsia" w:hAnsi="Times New Roman" w:cs="Times New Roman"/>
          <w:bCs/>
          <w:szCs w:val="24"/>
        </w:rPr>
        <w:t>uza</w:t>
      </w:r>
      <w:proofErr w:type="spellEnd"/>
      <w:r w:rsidRPr="008F7D2E">
        <w:rPr>
          <w:rStyle w:val="Heading2Char"/>
          <w:rFonts w:ascii="Times New Roman" w:eastAsiaTheme="minorEastAsia" w:hAnsi="Times New Roman" w:cs="Times New Roman"/>
          <w:bCs/>
          <w:szCs w:val="24"/>
        </w:rPr>
        <w:t xml:space="preserve">-cel, </w:t>
      </w:r>
      <w:proofErr w:type="spellStart"/>
      <w:r w:rsidRPr="008F7D2E">
        <w:rPr>
          <w:rStyle w:val="Heading2Char"/>
          <w:rFonts w:ascii="Times New Roman" w:eastAsiaTheme="minorEastAsia" w:hAnsi="Times New Roman" w:cs="Times New Roman"/>
          <w:bCs/>
          <w:szCs w:val="24"/>
        </w:rPr>
        <w:t>uzatresgene</w:t>
      </w:r>
      <w:proofErr w:type="spellEnd"/>
      <w:r w:rsidRPr="008F7D2E">
        <w:rPr>
          <w:rStyle w:val="Heading2Char"/>
          <w:rFonts w:ascii="Times New Roman" w:eastAsiaTheme="minorEastAsia" w:hAnsi="Times New Roman" w:cs="Times New Roman"/>
          <w:bCs/>
          <w:szCs w:val="24"/>
        </w:rPr>
        <w:t xml:space="preserve"> </w:t>
      </w:r>
      <w:proofErr w:type="spellStart"/>
      <w:r w:rsidRPr="008F7D2E">
        <w:rPr>
          <w:rStyle w:val="Heading2Char"/>
          <w:rFonts w:ascii="Times New Roman" w:eastAsiaTheme="minorEastAsia" w:hAnsi="Times New Roman" w:cs="Times New Roman"/>
          <w:bCs/>
          <w:szCs w:val="24"/>
        </w:rPr>
        <w:t>autoleucel</w:t>
      </w:r>
      <w:proofErr w:type="spellEnd"/>
      <w:r w:rsidRPr="008F7D2E">
        <w:rPr>
          <w:rFonts w:ascii="Times New Roman" w:hAnsi="Times New Roman" w:cs="Times New Roman"/>
        </w:rPr>
        <w:t xml:space="preserve">. </w:t>
      </w:r>
    </w:p>
    <w:p w14:paraId="09EA3099"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noProof/>
        </w:rPr>
        <w:lastRenderedPageBreak/>
        <w:drawing>
          <wp:inline distT="0" distB="0" distL="0" distR="0" wp14:anchorId="5967C9F4" wp14:editId="7DBB68A8">
            <wp:extent cx="5052060" cy="6978427"/>
            <wp:effectExtent l="0" t="0" r="0" b="0"/>
            <wp:docPr id="19685555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8472" cy="7001097"/>
                    </a:xfrm>
                    <a:prstGeom prst="rect">
                      <a:avLst/>
                    </a:prstGeom>
                    <a:noFill/>
                    <a:ln>
                      <a:noFill/>
                    </a:ln>
                  </pic:spPr>
                </pic:pic>
              </a:graphicData>
            </a:graphic>
          </wp:inline>
        </w:drawing>
      </w:r>
      <w:r w:rsidRPr="008F7D2E">
        <w:rPr>
          <w:rFonts w:ascii="Times New Roman" w:hAnsi="Times New Roman" w:cs="Times New Roman"/>
        </w:rPr>
        <w:t xml:space="preserve"> </w:t>
      </w:r>
      <w:r w:rsidRPr="008F7D2E">
        <w:rPr>
          <w:rFonts w:ascii="Times New Roman" w:hAnsi="Times New Roman" w:cs="Times New Roman"/>
        </w:rPr>
        <w:br w:type="page"/>
      </w:r>
    </w:p>
    <w:p w14:paraId="785723A3"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3" w:name="_Ref184391062"/>
      <w:r w:rsidRPr="008F7D2E">
        <w:rPr>
          <w:rFonts w:ascii="Times New Roman" w:hAnsi="Times New Roman" w:cs="Times New Roman"/>
          <w:i w:val="0"/>
          <w:iCs w:val="0"/>
        </w:rPr>
        <w:lastRenderedPageBreak/>
        <w:t xml:space="preserve">Extended Data Table 1 </w:t>
      </w:r>
      <w:bookmarkEnd w:id="3"/>
      <w:r w:rsidRPr="008F7D2E">
        <w:rPr>
          <w:rFonts w:ascii="Times New Roman" w:hAnsi="Times New Roman" w:cs="Times New Roman"/>
          <w:i w:val="0"/>
          <w:iCs w:val="0"/>
        </w:rPr>
        <w:t>│HLA-A and MAGE-A4 expression details of 47 monotherapy patients.</w:t>
      </w:r>
    </w:p>
    <w:tbl>
      <w:tblPr>
        <w:tblStyle w:val="GridTable1Light"/>
        <w:tblW w:w="0" w:type="auto"/>
        <w:tblLook w:val="04A0" w:firstRow="1" w:lastRow="0" w:firstColumn="1" w:lastColumn="0" w:noHBand="0" w:noVBand="1"/>
      </w:tblPr>
      <w:tblGrid>
        <w:gridCol w:w="2972"/>
        <w:gridCol w:w="567"/>
        <w:gridCol w:w="1985"/>
        <w:gridCol w:w="1559"/>
        <w:gridCol w:w="2267"/>
      </w:tblGrid>
      <w:tr w:rsidR="004A5F9B" w:rsidRPr="008F7D2E" w14:paraId="20E38B8A" w14:textId="77777777" w:rsidTr="0061256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972" w:type="dxa"/>
          </w:tcPr>
          <w:p w14:paraId="41FF1E0C"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sz w:val="22"/>
                <w:szCs w:val="22"/>
              </w:rPr>
              <w:t>Tumor type</w:t>
            </w:r>
          </w:p>
        </w:tc>
        <w:tc>
          <w:tcPr>
            <w:tcW w:w="567" w:type="dxa"/>
          </w:tcPr>
          <w:p w14:paraId="733099AF" w14:textId="77777777" w:rsidR="004A5F9B" w:rsidRPr="008F7D2E" w:rsidRDefault="004A5F9B" w:rsidP="006125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tcPr>
          <w:p w14:paraId="2A84BAEC" w14:textId="77777777" w:rsidR="004A5F9B" w:rsidRPr="008F7D2E" w:rsidRDefault="004A5F9B" w:rsidP="006125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sz w:val="22"/>
                <w:szCs w:val="22"/>
              </w:rPr>
              <w:t>HLA-A_1</w:t>
            </w:r>
          </w:p>
        </w:tc>
        <w:tc>
          <w:tcPr>
            <w:tcW w:w="1559" w:type="dxa"/>
          </w:tcPr>
          <w:p w14:paraId="4103BC63" w14:textId="77777777" w:rsidR="004A5F9B" w:rsidRPr="008F7D2E" w:rsidRDefault="004A5F9B" w:rsidP="006125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sz w:val="22"/>
                <w:szCs w:val="22"/>
              </w:rPr>
              <w:t>HLA-A_2</w:t>
            </w:r>
          </w:p>
        </w:tc>
        <w:tc>
          <w:tcPr>
            <w:tcW w:w="2267" w:type="dxa"/>
          </w:tcPr>
          <w:p w14:paraId="475EF4D6" w14:textId="77777777" w:rsidR="004A5F9B" w:rsidRPr="008F7D2E" w:rsidRDefault="004A5F9B" w:rsidP="00612567">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sz w:val="22"/>
                <w:szCs w:val="22"/>
              </w:rPr>
              <w:t xml:space="preserve">MAGE-A4 H </w:t>
            </w:r>
            <w:proofErr w:type="spellStart"/>
            <w:r w:rsidRPr="008F7D2E">
              <w:rPr>
                <w:rFonts w:ascii="Times New Roman" w:hAnsi="Times New Roman" w:cs="Times New Roman"/>
                <w:sz w:val="22"/>
                <w:szCs w:val="22"/>
              </w:rPr>
              <w:t>score</w:t>
            </w:r>
            <w:r w:rsidRPr="008F7D2E">
              <w:rPr>
                <w:rFonts w:ascii="Times New Roman" w:hAnsi="Times New Roman" w:cs="Times New Roman"/>
                <w:sz w:val="22"/>
                <w:szCs w:val="22"/>
                <w:vertAlign w:val="superscript"/>
              </w:rPr>
              <w:t>a</w:t>
            </w:r>
            <w:proofErr w:type="spellEnd"/>
            <w:r w:rsidRPr="008F7D2E">
              <w:rPr>
                <w:rFonts w:ascii="Times New Roman" w:hAnsi="Times New Roman" w:cs="Times New Roman"/>
                <w:sz w:val="22"/>
                <w:szCs w:val="22"/>
              </w:rPr>
              <w:t xml:space="preserve"> </w:t>
            </w:r>
          </w:p>
        </w:tc>
      </w:tr>
      <w:tr w:rsidR="004A5F9B" w:rsidRPr="008F7D2E" w14:paraId="014A693E"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restart"/>
            <w:vAlign w:val="bottom"/>
          </w:tcPr>
          <w:p w14:paraId="546CDFC9" w14:textId="77777777" w:rsidR="004A5F9B" w:rsidRPr="008F7D2E" w:rsidRDefault="004A5F9B" w:rsidP="00612567">
            <w:pPr>
              <w:spacing w:line="480" w:lineRule="auto"/>
              <w:jc w:val="both"/>
              <w:rPr>
                <w:rFonts w:ascii="Times New Roman" w:hAnsi="Times New Roman" w:cs="Times New Roman"/>
                <w:b w:val="0"/>
                <w:bCs w:val="0"/>
                <w:sz w:val="22"/>
                <w:szCs w:val="22"/>
              </w:rPr>
            </w:pPr>
            <w:r w:rsidRPr="008F7D2E">
              <w:rPr>
                <w:rFonts w:ascii="Times New Roman" w:hAnsi="Times New Roman" w:cs="Times New Roman"/>
                <w:color w:val="000000"/>
                <w:sz w:val="22"/>
                <w:szCs w:val="22"/>
              </w:rPr>
              <w:t>Esophageal</w:t>
            </w:r>
          </w:p>
        </w:tc>
        <w:tc>
          <w:tcPr>
            <w:tcW w:w="567" w:type="dxa"/>
          </w:tcPr>
          <w:p w14:paraId="6FD1F3C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6481868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58140C9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32:01:00</w:t>
            </w:r>
          </w:p>
        </w:tc>
        <w:tc>
          <w:tcPr>
            <w:tcW w:w="2267" w:type="dxa"/>
            <w:vAlign w:val="bottom"/>
          </w:tcPr>
          <w:p w14:paraId="1432F0B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260</w:t>
            </w:r>
          </w:p>
        </w:tc>
      </w:tr>
      <w:tr w:rsidR="004A5F9B" w:rsidRPr="008F7D2E" w14:paraId="72EAF712"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EB4163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7DC3FEC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6312581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51C9941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23:01</w:t>
            </w:r>
          </w:p>
        </w:tc>
        <w:tc>
          <w:tcPr>
            <w:tcW w:w="2267" w:type="dxa"/>
            <w:vAlign w:val="bottom"/>
          </w:tcPr>
          <w:p w14:paraId="3D43F3C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275</w:t>
            </w:r>
          </w:p>
        </w:tc>
      </w:tr>
      <w:tr w:rsidR="004A5F9B" w:rsidRPr="008F7D2E" w14:paraId="33A80DB6"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3B156414"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EAD148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0F960E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4A0739E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31:CDBKP</w:t>
            </w:r>
          </w:p>
        </w:tc>
        <w:tc>
          <w:tcPr>
            <w:tcW w:w="2267" w:type="dxa"/>
            <w:vAlign w:val="bottom"/>
          </w:tcPr>
          <w:p w14:paraId="124672A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195</w:t>
            </w:r>
          </w:p>
        </w:tc>
      </w:tr>
      <w:tr w:rsidR="004A5F9B" w:rsidRPr="008F7D2E" w14:paraId="4EB961E5"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5122D1B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FD32D3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237AA6D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335F7CB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11:01:01G</w:t>
            </w:r>
          </w:p>
        </w:tc>
        <w:tc>
          <w:tcPr>
            <w:tcW w:w="2267" w:type="dxa"/>
            <w:vAlign w:val="bottom"/>
          </w:tcPr>
          <w:p w14:paraId="714066E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280</w:t>
            </w:r>
          </w:p>
        </w:tc>
      </w:tr>
      <w:tr w:rsidR="004A5F9B" w:rsidRPr="008F7D2E" w14:paraId="32DB40E5"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restart"/>
            <w:vAlign w:val="bottom"/>
          </w:tcPr>
          <w:p w14:paraId="38ED7944" w14:textId="77777777" w:rsidR="004A5F9B" w:rsidRPr="008F7D2E" w:rsidRDefault="004A5F9B" w:rsidP="00612567">
            <w:pPr>
              <w:spacing w:line="480" w:lineRule="auto"/>
              <w:jc w:val="both"/>
              <w:rPr>
                <w:rFonts w:ascii="Times New Roman" w:hAnsi="Times New Roman" w:cs="Times New Roman"/>
                <w:b w:val="0"/>
                <w:bCs w:val="0"/>
                <w:sz w:val="22"/>
                <w:szCs w:val="22"/>
              </w:rPr>
            </w:pPr>
            <w:r w:rsidRPr="008F7D2E">
              <w:rPr>
                <w:rFonts w:ascii="Times New Roman" w:hAnsi="Times New Roman" w:cs="Times New Roman"/>
                <w:color w:val="000000"/>
                <w:sz w:val="22"/>
                <w:szCs w:val="22"/>
              </w:rPr>
              <w:t>EGJ</w:t>
            </w:r>
          </w:p>
        </w:tc>
        <w:tc>
          <w:tcPr>
            <w:tcW w:w="567" w:type="dxa"/>
          </w:tcPr>
          <w:p w14:paraId="0951EED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2744460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1559" w:type="dxa"/>
            <w:vAlign w:val="bottom"/>
          </w:tcPr>
          <w:p w14:paraId="013E926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31:RVXR</w:t>
            </w:r>
          </w:p>
        </w:tc>
        <w:tc>
          <w:tcPr>
            <w:tcW w:w="2267" w:type="dxa"/>
            <w:vAlign w:val="bottom"/>
          </w:tcPr>
          <w:p w14:paraId="5882F41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180</w:t>
            </w:r>
          </w:p>
        </w:tc>
      </w:tr>
      <w:tr w:rsidR="004A5F9B" w:rsidRPr="008F7D2E" w14:paraId="3BC46009"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20556005"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651569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973B03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1559" w:type="dxa"/>
            <w:vAlign w:val="bottom"/>
          </w:tcPr>
          <w:p w14:paraId="663C84F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30:02:00</w:t>
            </w:r>
          </w:p>
        </w:tc>
        <w:tc>
          <w:tcPr>
            <w:tcW w:w="2267" w:type="dxa"/>
            <w:vAlign w:val="bottom"/>
          </w:tcPr>
          <w:p w14:paraId="3AC53D1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46123F32"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77A50F36"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1245719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D22B7B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07EDF05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2267" w:type="dxa"/>
            <w:vAlign w:val="bottom"/>
          </w:tcPr>
          <w:p w14:paraId="4E2A412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210</w:t>
            </w:r>
          </w:p>
        </w:tc>
      </w:tr>
      <w:tr w:rsidR="004A5F9B" w:rsidRPr="008F7D2E" w14:paraId="04047436"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50F4CB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76FDC88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1023BD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4DBF1A8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24:BKKPV</w:t>
            </w:r>
          </w:p>
        </w:tc>
        <w:tc>
          <w:tcPr>
            <w:tcW w:w="2267" w:type="dxa"/>
            <w:vAlign w:val="bottom"/>
          </w:tcPr>
          <w:p w14:paraId="376A4C7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180</w:t>
            </w:r>
          </w:p>
        </w:tc>
      </w:tr>
      <w:tr w:rsidR="004A5F9B" w:rsidRPr="008F7D2E" w14:paraId="5C898A3F"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39EADC36"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20EDDF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F66C24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7437B3F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11:BKKPP</w:t>
            </w:r>
          </w:p>
        </w:tc>
        <w:tc>
          <w:tcPr>
            <w:tcW w:w="2267" w:type="dxa"/>
            <w:vAlign w:val="bottom"/>
          </w:tcPr>
          <w:p w14:paraId="18003F4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250</w:t>
            </w:r>
          </w:p>
        </w:tc>
      </w:tr>
      <w:tr w:rsidR="004A5F9B" w:rsidRPr="008F7D2E" w14:paraId="7DC77DB7"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238976D8"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6BA0FBC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9E8142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01:CUHJE</w:t>
            </w:r>
          </w:p>
        </w:tc>
        <w:tc>
          <w:tcPr>
            <w:tcW w:w="1559" w:type="dxa"/>
            <w:vAlign w:val="bottom"/>
          </w:tcPr>
          <w:p w14:paraId="7759F69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51567B5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160</w:t>
            </w:r>
          </w:p>
        </w:tc>
      </w:tr>
      <w:tr w:rsidR="004A5F9B" w:rsidRPr="008F7D2E" w14:paraId="703768F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692EDB0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4594833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6D7AA44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14FC323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03:DFFSX</w:t>
            </w:r>
          </w:p>
        </w:tc>
        <w:tc>
          <w:tcPr>
            <w:tcW w:w="2267" w:type="dxa"/>
            <w:vAlign w:val="bottom"/>
          </w:tcPr>
          <w:p w14:paraId="2A1E874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245</w:t>
            </w:r>
          </w:p>
        </w:tc>
      </w:tr>
      <w:tr w:rsidR="004A5F9B" w:rsidRPr="008F7D2E" w14:paraId="6EFC2658"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8C35102"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18077BE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2289C3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1AFDC14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2267" w:type="dxa"/>
            <w:vAlign w:val="bottom"/>
          </w:tcPr>
          <w:p w14:paraId="13EC657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78C4EE97"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5A57E1B2"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787A60D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9E34AD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6FBAEF7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2267" w:type="dxa"/>
            <w:vAlign w:val="bottom"/>
          </w:tcPr>
          <w:p w14:paraId="7180E45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200</w:t>
            </w:r>
          </w:p>
        </w:tc>
      </w:tr>
      <w:tr w:rsidR="004A5F9B" w:rsidRPr="008F7D2E" w14:paraId="1CFF1E56"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360202FA"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Gastric</w:t>
            </w:r>
          </w:p>
        </w:tc>
        <w:tc>
          <w:tcPr>
            <w:tcW w:w="567" w:type="dxa"/>
          </w:tcPr>
          <w:p w14:paraId="06390ED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55FBBFD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35FADA7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30:01:00</w:t>
            </w:r>
          </w:p>
        </w:tc>
        <w:tc>
          <w:tcPr>
            <w:tcW w:w="2267" w:type="dxa"/>
            <w:vAlign w:val="bottom"/>
          </w:tcPr>
          <w:p w14:paraId="739B044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200</w:t>
            </w:r>
          </w:p>
        </w:tc>
      </w:tr>
      <w:tr w:rsidR="004A5F9B" w:rsidRPr="008F7D2E" w14:paraId="361C71DB" w14:textId="77777777" w:rsidTr="00612567">
        <w:tc>
          <w:tcPr>
            <w:cnfStyle w:val="001000000000" w:firstRow="0" w:lastRow="0" w:firstColumn="1" w:lastColumn="0" w:oddVBand="0" w:evenVBand="0" w:oddHBand="0" w:evenHBand="0" w:firstRowFirstColumn="0" w:firstRowLastColumn="0" w:lastRowFirstColumn="0" w:lastRowLastColumn="0"/>
            <w:tcW w:w="7083" w:type="dxa"/>
            <w:gridSpan w:val="4"/>
            <w:vAlign w:val="bottom"/>
          </w:tcPr>
          <w:p w14:paraId="023B924D" w14:textId="77777777" w:rsidR="004A5F9B" w:rsidRPr="008F7D2E" w:rsidRDefault="004A5F9B" w:rsidP="00612567">
            <w:pPr>
              <w:spacing w:line="480" w:lineRule="auto"/>
              <w:jc w:val="both"/>
              <w:rPr>
                <w:rFonts w:ascii="Times New Roman" w:hAnsi="Times New Roman" w:cs="Times New Roman"/>
                <w:color w:val="000000"/>
                <w:sz w:val="22"/>
                <w:szCs w:val="22"/>
              </w:rPr>
            </w:pPr>
            <w:r w:rsidRPr="008F7D2E">
              <w:rPr>
                <w:rFonts w:ascii="Times New Roman" w:hAnsi="Times New Roman" w:cs="Times New Roman"/>
                <w:color w:val="000000"/>
                <w:sz w:val="22"/>
                <w:szCs w:val="22"/>
              </w:rPr>
              <w:t>Esophageal, EGJ, and gastric median (min, max)</w:t>
            </w:r>
          </w:p>
        </w:tc>
        <w:tc>
          <w:tcPr>
            <w:tcW w:w="2267" w:type="dxa"/>
            <w:vAlign w:val="bottom"/>
          </w:tcPr>
          <w:p w14:paraId="42684B4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8F7D2E">
              <w:rPr>
                <w:rFonts w:ascii="Times New Roman" w:hAnsi="Times New Roman" w:cs="Times New Roman"/>
                <w:color w:val="000000"/>
                <w:sz w:val="22"/>
                <w:szCs w:val="22"/>
              </w:rPr>
              <w:t>227.5 (160, 300)</w:t>
            </w:r>
          </w:p>
        </w:tc>
      </w:tr>
      <w:tr w:rsidR="004A5F9B" w:rsidRPr="008F7D2E" w14:paraId="6C64D699"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restart"/>
            <w:vAlign w:val="bottom"/>
          </w:tcPr>
          <w:p w14:paraId="7C48BC97" w14:textId="77777777" w:rsidR="004A5F9B" w:rsidRPr="008F7D2E" w:rsidRDefault="004A5F9B" w:rsidP="00612567">
            <w:pPr>
              <w:spacing w:line="480" w:lineRule="auto"/>
              <w:jc w:val="both"/>
              <w:rPr>
                <w:rFonts w:ascii="Times New Roman" w:hAnsi="Times New Roman" w:cs="Times New Roman"/>
                <w:b w:val="0"/>
                <w:bCs w:val="0"/>
                <w:sz w:val="22"/>
                <w:szCs w:val="22"/>
              </w:rPr>
            </w:pPr>
            <w:r w:rsidRPr="008F7D2E">
              <w:rPr>
                <w:rFonts w:ascii="Times New Roman" w:hAnsi="Times New Roman" w:cs="Times New Roman"/>
                <w:color w:val="000000"/>
                <w:sz w:val="22"/>
                <w:szCs w:val="22"/>
              </w:rPr>
              <w:t>Head and neck</w:t>
            </w:r>
          </w:p>
        </w:tc>
        <w:tc>
          <w:tcPr>
            <w:tcW w:w="567" w:type="dxa"/>
          </w:tcPr>
          <w:p w14:paraId="0D77EB7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4C91CCF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01:BKKPK</w:t>
            </w:r>
          </w:p>
        </w:tc>
        <w:tc>
          <w:tcPr>
            <w:tcW w:w="1559" w:type="dxa"/>
            <w:vAlign w:val="bottom"/>
          </w:tcPr>
          <w:p w14:paraId="1071D0B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2267" w:type="dxa"/>
            <w:vAlign w:val="bottom"/>
          </w:tcPr>
          <w:p w14:paraId="795FD46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295</w:t>
            </w:r>
          </w:p>
        </w:tc>
      </w:tr>
      <w:tr w:rsidR="004A5F9B" w:rsidRPr="008F7D2E" w14:paraId="50A1AEAE"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7389A197"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209215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351718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567C4CB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03:BKKPN</w:t>
            </w:r>
          </w:p>
        </w:tc>
        <w:tc>
          <w:tcPr>
            <w:tcW w:w="2267" w:type="dxa"/>
            <w:vAlign w:val="bottom"/>
          </w:tcPr>
          <w:p w14:paraId="7997D3B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140</w:t>
            </w:r>
          </w:p>
        </w:tc>
      </w:tr>
      <w:tr w:rsidR="004A5F9B" w:rsidRPr="008F7D2E" w14:paraId="18B2971D"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65B720A6"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D6C7F8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6656E9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7C500C5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24:DFJDB</w:t>
            </w:r>
          </w:p>
        </w:tc>
        <w:tc>
          <w:tcPr>
            <w:tcW w:w="2267" w:type="dxa"/>
            <w:vAlign w:val="bottom"/>
          </w:tcPr>
          <w:p w14:paraId="25F73B8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280</w:t>
            </w:r>
          </w:p>
        </w:tc>
      </w:tr>
      <w:tr w:rsidR="004A5F9B" w:rsidRPr="008F7D2E" w14:paraId="44C8A13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65BDF72"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5D97DCD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25FF5E4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50D0722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26:BMCND</w:t>
            </w:r>
          </w:p>
        </w:tc>
        <w:tc>
          <w:tcPr>
            <w:tcW w:w="2267" w:type="dxa"/>
            <w:vAlign w:val="bottom"/>
          </w:tcPr>
          <w:p w14:paraId="67B924E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1925EBBC" w14:textId="77777777" w:rsidTr="00612567">
        <w:tc>
          <w:tcPr>
            <w:cnfStyle w:val="001000000000" w:firstRow="0" w:lastRow="0" w:firstColumn="1" w:lastColumn="0" w:oddVBand="0" w:evenVBand="0" w:oddHBand="0" w:evenHBand="0" w:firstRowFirstColumn="0" w:firstRowLastColumn="0" w:lastRowFirstColumn="0" w:lastRowLastColumn="0"/>
            <w:tcW w:w="7083" w:type="dxa"/>
            <w:gridSpan w:val="4"/>
            <w:vAlign w:val="bottom"/>
          </w:tcPr>
          <w:p w14:paraId="5FDE37F0" w14:textId="77777777" w:rsidR="004A5F9B" w:rsidRPr="008F7D2E" w:rsidRDefault="004A5F9B" w:rsidP="00612567">
            <w:pPr>
              <w:spacing w:line="480" w:lineRule="auto"/>
              <w:jc w:val="both"/>
              <w:rPr>
                <w:rFonts w:ascii="Times New Roman" w:hAnsi="Times New Roman" w:cs="Times New Roman"/>
                <w:color w:val="000000"/>
                <w:sz w:val="22"/>
                <w:szCs w:val="22"/>
              </w:rPr>
            </w:pPr>
            <w:r w:rsidRPr="008F7D2E">
              <w:rPr>
                <w:rFonts w:ascii="Times New Roman" w:hAnsi="Times New Roman" w:cs="Times New Roman"/>
                <w:color w:val="000000"/>
                <w:sz w:val="22"/>
                <w:szCs w:val="22"/>
              </w:rPr>
              <w:t>Head and neck median (min, max)</w:t>
            </w:r>
          </w:p>
        </w:tc>
        <w:tc>
          <w:tcPr>
            <w:tcW w:w="2267" w:type="dxa"/>
            <w:vAlign w:val="bottom"/>
          </w:tcPr>
          <w:p w14:paraId="6B14D46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8F7D2E">
              <w:rPr>
                <w:rFonts w:ascii="Times New Roman" w:hAnsi="Times New Roman" w:cs="Times New Roman"/>
                <w:color w:val="000000"/>
                <w:sz w:val="22"/>
                <w:szCs w:val="22"/>
              </w:rPr>
              <w:t>287.5 (140, 300)</w:t>
            </w:r>
          </w:p>
        </w:tc>
      </w:tr>
      <w:tr w:rsidR="004A5F9B" w:rsidRPr="008F7D2E" w14:paraId="17C34042"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5ED13D46"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Melanoma</w:t>
            </w:r>
          </w:p>
        </w:tc>
        <w:tc>
          <w:tcPr>
            <w:tcW w:w="567" w:type="dxa"/>
          </w:tcPr>
          <w:p w14:paraId="1C28863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59B0BE8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6C89E16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26:BMCND</w:t>
            </w:r>
          </w:p>
        </w:tc>
        <w:tc>
          <w:tcPr>
            <w:tcW w:w="2267" w:type="dxa"/>
            <w:vAlign w:val="bottom"/>
          </w:tcPr>
          <w:p w14:paraId="009964F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25FDE92C"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3884E65D"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Melanoma</w:t>
            </w:r>
          </w:p>
        </w:tc>
        <w:tc>
          <w:tcPr>
            <w:tcW w:w="567" w:type="dxa"/>
          </w:tcPr>
          <w:p w14:paraId="5D86609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733E76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6D40575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68:01:02G</w:t>
            </w:r>
          </w:p>
        </w:tc>
        <w:tc>
          <w:tcPr>
            <w:tcW w:w="2267" w:type="dxa"/>
            <w:vAlign w:val="bottom"/>
          </w:tcPr>
          <w:p w14:paraId="586496E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220</w:t>
            </w:r>
          </w:p>
        </w:tc>
      </w:tr>
      <w:tr w:rsidR="004A5F9B" w:rsidRPr="008F7D2E" w14:paraId="397C6E1D"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18E6FAE1"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lastRenderedPageBreak/>
              <w:t>MRCLS</w:t>
            </w:r>
          </w:p>
        </w:tc>
        <w:tc>
          <w:tcPr>
            <w:tcW w:w="567" w:type="dxa"/>
          </w:tcPr>
          <w:p w14:paraId="70333E8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8F3F65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1559" w:type="dxa"/>
            <w:vAlign w:val="bottom"/>
          </w:tcPr>
          <w:p w14:paraId="423DAA1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03:01</w:t>
            </w:r>
          </w:p>
        </w:tc>
        <w:tc>
          <w:tcPr>
            <w:tcW w:w="2267" w:type="dxa"/>
            <w:vAlign w:val="bottom"/>
          </w:tcPr>
          <w:p w14:paraId="52B3096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200</w:t>
            </w:r>
          </w:p>
        </w:tc>
      </w:tr>
      <w:tr w:rsidR="004A5F9B" w:rsidRPr="008F7D2E" w14:paraId="3B168A6E"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75992320"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NSCLC</w:t>
            </w:r>
          </w:p>
        </w:tc>
        <w:tc>
          <w:tcPr>
            <w:tcW w:w="567" w:type="dxa"/>
          </w:tcPr>
          <w:p w14:paraId="0EE5859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6432BE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01:BKKPK</w:t>
            </w:r>
          </w:p>
        </w:tc>
        <w:tc>
          <w:tcPr>
            <w:tcW w:w="1559" w:type="dxa"/>
            <w:vAlign w:val="bottom"/>
          </w:tcPr>
          <w:p w14:paraId="29F8174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2267" w:type="dxa"/>
            <w:vAlign w:val="bottom"/>
          </w:tcPr>
          <w:p w14:paraId="2DA2013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3ED9AD6C"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6AC96ECE"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NSCLC</w:t>
            </w:r>
          </w:p>
        </w:tc>
        <w:tc>
          <w:tcPr>
            <w:tcW w:w="567" w:type="dxa"/>
          </w:tcPr>
          <w:p w14:paraId="4CACD4A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D67531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1FEBE20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374A779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295</w:t>
            </w:r>
          </w:p>
        </w:tc>
      </w:tr>
      <w:tr w:rsidR="004A5F9B" w:rsidRPr="008F7D2E" w14:paraId="056605DD"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restart"/>
            <w:vAlign w:val="bottom"/>
          </w:tcPr>
          <w:p w14:paraId="3FDEE778" w14:textId="77777777" w:rsidR="004A5F9B" w:rsidRPr="008F7D2E" w:rsidRDefault="004A5F9B" w:rsidP="00612567">
            <w:pPr>
              <w:spacing w:line="480" w:lineRule="auto"/>
              <w:jc w:val="both"/>
              <w:rPr>
                <w:rFonts w:ascii="Times New Roman" w:hAnsi="Times New Roman" w:cs="Times New Roman"/>
                <w:b w:val="0"/>
                <w:bCs w:val="0"/>
                <w:sz w:val="22"/>
                <w:szCs w:val="22"/>
              </w:rPr>
            </w:pPr>
            <w:r w:rsidRPr="008F7D2E">
              <w:rPr>
                <w:rFonts w:ascii="Times New Roman" w:hAnsi="Times New Roman" w:cs="Times New Roman"/>
                <w:color w:val="000000"/>
                <w:sz w:val="22"/>
                <w:szCs w:val="22"/>
              </w:rPr>
              <w:t>Ovarian</w:t>
            </w:r>
          </w:p>
        </w:tc>
        <w:tc>
          <w:tcPr>
            <w:tcW w:w="567" w:type="dxa"/>
          </w:tcPr>
          <w:p w14:paraId="6562BB4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7B6DCE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1559" w:type="dxa"/>
            <w:vAlign w:val="bottom"/>
          </w:tcPr>
          <w:p w14:paraId="5D460C9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03:01</w:t>
            </w:r>
          </w:p>
        </w:tc>
        <w:tc>
          <w:tcPr>
            <w:tcW w:w="2267" w:type="dxa"/>
            <w:vAlign w:val="bottom"/>
          </w:tcPr>
          <w:p w14:paraId="635D17C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200</w:t>
            </w:r>
          </w:p>
        </w:tc>
      </w:tr>
      <w:tr w:rsidR="004A5F9B" w:rsidRPr="008F7D2E" w14:paraId="38DE97F1"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35FB9739"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FE5386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67B29BD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4A10822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29:BKKPW</w:t>
            </w:r>
          </w:p>
        </w:tc>
        <w:tc>
          <w:tcPr>
            <w:tcW w:w="2267" w:type="dxa"/>
            <w:vAlign w:val="bottom"/>
          </w:tcPr>
          <w:p w14:paraId="765F161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295</w:t>
            </w:r>
          </w:p>
        </w:tc>
      </w:tr>
      <w:tr w:rsidR="004A5F9B" w:rsidRPr="008F7D2E" w14:paraId="400E37AD"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E77C58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63E0AE3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D896C3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5C0894A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03:BKKPN</w:t>
            </w:r>
          </w:p>
        </w:tc>
        <w:tc>
          <w:tcPr>
            <w:tcW w:w="2267" w:type="dxa"/>
            <w:vAlign w:val="bottom"/>
          </w:tcPr>
          <w:p w14:paraId="503C9AD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225</w:t>
            </w:r>
          </w:p>
        </w:tc>
      </w:tr>
      <w:tr w:rsidR="004A5F9B" w:rsidRPr="008F7D2E" w14:paraId="7AEDC53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7C7AB971"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B291CD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4344101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252A0DB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24:BKKPV</w:t>
            </w:r>
          </w:p>
        </w:tc>
        <w:tc>
          <w:tcPr>
            <w:tcW w:w="2267" w:type="dxa"/>
            <w:vAlign w:val="bottom"/>
          </w:tcPr>
          <w:p w14:paraId="595DB4C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285</w:t>
            </w:r>
          </w:p>
        </w:tc>
      </w:tr>
      <w:tr w:rsidR="004A5F9B" w:rsidRPr="008F7D2E" w14:paraId="594D2821"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0EB46172"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90B136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8F3363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2573F53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29:BKKPW</w:t>
            </w:r>
          </w:p>
        </w:tc>
        <w:tc>
          <w:tcPr>
            <w:tcW w:w="2267" w:type="dxa"/>
            <w:vAlign w:val="bottom"/>
          </w:tcPr>
          <w:p w14:paraId="6C92DDA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130</w:t>
            </w:r>
          </w:p>
        </w:tc>
      </w:tr>
      <w:tr w:rsidR="004A5F9B" w:rsidRPr="008F7D2E" w14:paraId="1045456D"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00094E23"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0007478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24F72A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2CEDBCF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2267" w:type="dxa"/>
            <w:vAlign w:val="bottom"/>
          </w:tcPr>
          <w:p w14:paraId="3777F6D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250</w:t>
            </w:r>
          </w:p>
        </w:tc>
      </w:tr>
      <w:tr w:rsidR="004A5F9B" w:rsidRPr="008F7D2E" w14:paraId="31967DC6"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C8521F1"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2A73EEFF"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CA47B5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0D1B7B4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03:BKKPN</w:t>
            </w:r>
          </w:p>
        </w:tc>
        <w:tc>
          <w:tcPr>
            <w:tcW w:w="2267" w:type="dxa"/>
            <w:vAlign w:val="bottom"/>
          </w:tcPr>
          <w:p w14:paraId="725492F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295</w:t>
            </w:r>
          </w:p>
        </w:tc>
      </w:tr>
      <w:tr w:rsidR="004A5F9B" w:rsidRPr="008F7D2E" w14:paraId="371B4EB9"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7563D464"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11D7FAC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25BBDD3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332145D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30:02:00</w:t>
            </w:r>
          </w:p>
        </w:tc>
        <w:tc>
          <w:tcPr>
            <w:tcW w:w="2267" w:type="dxa"/>
            <w:vAlign w:val="bottom"/>
          </w:tcPr>
          <w:p w14:paraId="1E80326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280</w:t>
            </w:r>
          </w:p>
        </w:tc>
      </w:tr>
      <w:tr w:rsidR="004A5F9B" w:rsidRPr="008F7D2E" w14:paraId="3CC26E19"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2DA7E1DB"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1C904F7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6744ADC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50CC155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405CA21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165</w:t>
            </w:r>
          </w:p>
        </w:tc>
      </w:tr>
      <w:tr w:rsidR="004A5F9B" w:rsidRPr="008F7D2E" w14:paraId="0FBC27A1"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0A067B98"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5C026C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279C486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319191E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11:CETGT</w:t>
            </w:r>
          </w:p>
        </w:tc>
        <w:tc>
          <w:tcPr>
            <w:tcW w:w="2267" w:type="dxa"/>
            <w:vAlign w:val="bottom"/>
          </w:tcPr>
          <w:p w14:paraId="3896E42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170</w:t>
            </w:r>
          </w:p>
        </w:tc>
      </w:tr>
      <w:tr w:rsidR="004A5F9B" w:rsidRPr="008F7D2E" w14:paraId="56E5CB9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0491571"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4EC8749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B2E2F0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01:CUHJE</w:t>
            </w:r>
          </w:p>
        </w:tc>
        <w:tc>
          <w:tcPr>
            <w:tcW w:w="1559" w:type="dxa"/>
            <w:vAlign w:val="bottom"/>
          </w:tcPr>
          <w:p w14:paraId="35CE2B4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415E3A0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2A68DD3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8C0CCB4"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2779F59A"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0CCFD11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1B9619E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03:DFFSX</w:t>
            </w:r>
          </w:p>
        </w:tc>
        <w:tc>
          <w:tcPr>
            <w:tcW w:w="2267" w:type="dxa"/>
            <w:vAlign w:val="bottom"/>
          </w:tcPr>
          <w:p w14:paraId="686CA0FC"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95</w:t>
            </w:r>
          </w:p>
        </w:tc>
      </w:tr>
      <w:tr w:rsidR="004A5F9B" w:rsidRPr="008F7D2E" w14:paraId="07CFF890"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3FBF9AD"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44A6222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4786CB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0AEF4D5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29:02:01G</w:t>
            </w:r>
          </w:p>
        </w:tc>
        <w:tc>
          <w:tcPr>
            <w:tcW w:w="2267" w:type="dxa"/>
            <w:vAlign w:val="bottom"/>
          </w:tcPr>
          <w:p w14:paraId="197710E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195</w:t>
            </w:r>
          </w:p>
        </w:tc>
      </w:tr>
      <w:tr w:rsidR="004A5F9B" w:rsidRPr="008F7D2E" w14:paraId="58944701"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507F57D8"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4059E7C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541D0C1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7964B50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03:01:01G</w:t>
            </w:r>
          </w:p>
        </w:tc>
        <w:tc>
          <w:tcPr>
            <w:tcW w:w="2267" w:type="dxa"/>
            <w:vAlign w:val="bottom"/>
          </w:tcPr>
          <w:p w14:paraId="27829B8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3DCD9E12"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4B74D278"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5BBB2F0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7079C1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01:01:01G</w:t>
            </w:r>
          </w:p>
        </w:tc>
        <w:tc>
          <w:tcPr>
            <w:tcW w:w="1559" w:type="dxa"/>
            <w:vAlign w:val="bottom"/>
          </w:tcPr>
          <w:p w14:paraId="39FC374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2267" w:type="dxa"/>
            <w:vAlign w:val="bottom"/>
          </w:tcPr>
          <w:p w14:paraId="1BE1BAF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90</w:t>
            </w:r>
          </w:p>
        </w:tc>
      </w:tr>
      <w:tr w:rsidR="004A5F9B" w:rsidRPr="008F7D2E" w14:paraId="1A398285" w14:textId="77777777" w:rsidTr="00612567">
        <w:tc>
          <w:tcPr>
            <w:cnfStyle w:val="001000000000" w:firstRow="0" w:lastRow="0" w:firstColumn="1" w:lastColumn="0" w:oddVBand="0" w:evenVBand="0" w:oddHBand="0" w:evenHBand="0" w:firstRowFirstColumn="0" w:firstRowLastColumn="0" w:lastRowFirstColumn="0" w:lastRowLastColumn="0"/>
            <w:tcW w:w="7083" w:type="dxa"/>
            <w:gridSpan w:val="4"/>
            <w:vAlign w:val="bottom"/>
          </w:tcPr>
          <w:p w14:paraId="1435EF4F" w14:textId="77777777" w:rsidR="004A5F9B" w:rsidRPr="008F7D2E" w:rsidRDefault="004A5F9B" w:rsidP="00612567">
            <w:pPr>
              <w:spacing w:line="480" w:lineRule="auto"/>
              <w:jc w:val="both"/>
              <w:rPr>
                <w:rFonts w:ascii="Times New Roman" w:hAnsi="Times New Roman" w:cs="Times New Roman"/>
                <w:color w:val="000000"/>
                <w:sz w:val="22"/>
                <w:szCs w:val="22"/>
              </w:rPr>
            </w:pPr>
            <w:r w:rsidRPr="008F7D2E">
              <w:rPr>
                <w:rFonts w:ascii="Times New Roman" w:hAnsi="Times New Roman" w:cs="Times New Roman"/>
                <w:color w:val="000000"/>
                <w:sz w:val="22"/>
                <w:szCs w:val="22"/>
              </w:rPr>
              <w:t>Ovarian median (min, max)</w:t>
            </w:r>
          </w:p>
        </w:tc>
        <w:tc>
          <w:tcPr>
            <w:tcW w:w="2267" w:type="dxa"/>
            <w:vAlign w:val="bottom"/>
          </w:tcPr>
          <w:p w14:paraId="742A6A3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8F7D2E">
              <w:rPr>
                <w:rFonts w:ascii="Times New Roman" w:hAnsi="Times New Roman" w:cs="Times New Roman"/>
                <w:color w:val="000000"/>
                <w:sz w:val="22"/>
                <w:szCs w:val="22"/>
              </w:rPr>
              <w:t>225 (90, 300)</w:t>
            </w:r>
          </w:p>
        </w:tc>
      </w:tr>
      <w:tr w:rsidR="004A5F9B" w:rsidRPr="008F7D2E" w14:paraId="44523DCB" w14:textId="77777777" w:rsidTr="00612567">
        <w:tc>
          <w:tcPr>
            <w:cnfStyle w:val="001000000000" w:firstRow="0" w:lastRow="0" w:firstColumn="1" w:lastColumn="0" w:oddVBand="0" w:evenVBand="0" w:oddHBand="0" w:evenHBand="0" w:firstRowFirstColumn="0" w:firstRowLastColumn="0" w:lastRowFirstColumn="0" w:lastRowLastColumn="0"/>
            <w:tcW w:w="2972" w:type="dxa"/>
            <w:vAlign w:val="bottom"/>
          </w:tcPr>
          <w:p w14:paraId="2B50E72F" w14:textId="77777777" w:rsidR="004A5F9B" w:rsidRPr="008F7D2E" w:rsidRDefault="004A5F9B" w:rsidP="00612567">
            <w:pPr>
              <w:spacing w:line="480" w:lineRule="auto"/>
              <w:jc w:val="both"/>
              <w:rPr>
                <w:rFonts w:ascii="Times New Roman" w:hAnsi="Times New Roman" w:cs="Times New Roman"/>
                <w:sz w:val="22"/>
                <w:szCs w:val="22"/>
              </w:rPr>
            </w:pPr>
            <w:r w:rsidRPr="008F7D2E">
              <w:rPr>
                <w:rFonts w:ascii="Times New Roman" w:hAnsi="Times New Roman" w:cs="Times New Roman"/>
                <w:color w:val="000000"/>
                <w:sz w:val="22"/>
                <w:szCs w:val="22"/>
              </w:rPr>
              <w:t>Synovial sarcoma</w:t>
            </w:r>
          </w:p>
        </w:tc>
        <w:tc>
          <w:tcPr>
            <w:tcW w:w="567" w:type="dxa"/>
          </w:tcPr>
          <w:p w14:paraId="59C1B8C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7D9DDA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02:BMSUH</w:t>
            </w:r>
          </w:p>
        </w:tc>
        <w:tc>
          <w:tcPr>
            <w:tcW w:w="1559" w:type="dxa"/>
            <w:vAlign w:val="bottom"/>
          </w:tcPr>
          <w:p w14:paraId="7C18BD6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11:BKKPP</w:t>
            </w:r>
          </w:p>
        </w:tc>
        <w:tc>
          <w:tcPr>
            <w:tcW w:w="2267" w:type="dxa"/>
            <w:vAlign w:val="bottom"/>
          </w:tcPr>
          <w:p w14:paraId="5C264C8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08870113"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restart"/>
            <w:vAlign w:val="bottom"/>
          </w:tcPr>
          <w:p w14:paraId="2219666C" w14:textId="77777777" w:rsidR="004A5F9B" w:rsidRPr="008F7D2E" w:rsidRDefault="004A5F9B" w:rsidP="00612567">
            <w:pPr>
              <w:spacing w:line="480" w:lineRule="auto"/>
              <w:jc w:val="both"/>
              <w:rPr>
                <w:rFonts w:ascii="Times New Roman" w:hAnsi="Times New Roman" w:cs="Times New Roman"/>
                <w:b w:val="0"/>
                <w:bCs w:val="0"/>
                <w:sz w:val="22"/>
                <w:szCs w:val="22"/>
              </w:rPr>
            </w:pPr>
            <w:r w:rsidRPr="008F7D2E">
              <w:rPr>
                <w:rFonts w:ascii="Times New Roman" w:hAnsi="Times New Roman" w:cs="Times New Roman"/>
                <w:color w:val="000000"/>
                <w:sz w:val="22"/>
                <w:szCs w:val="22"/>
              </w:rPr>
              <w:t>Urothelial</w:t>
            </w:r>
          </w:p>
        </w:tc>
        <w:tc>
          <w:tcPr>
            <w:tcW w:w="567" w:type="dxa"/>
          </w:tcPr>
          <w:p w14:paraId="437AF04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5E60089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1559" w:type="dxa"/>
            <w:vAlign w:val="bottom"/>
          </w:tcPr>
          <w:p w14:paraId="25356E6E"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w:t>
            </w:r>
          </w:p>
        </w:tc>
        <w:tc>
          <w:tcPr>
            <w:tcW w:w="2267" w:type="dxa"/>
            <w:vAlign w:val="bottom"/>
          </w:tcPr>
          <w:p w14:paraId="0DDA3DF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280</w:t>
            </w:r>
          </w:p>
        </w:tc>
      </w:tr>
      <w:tr w:rsidR="004A5F9B" w:rsidRPr="008F7D2E" w14:paraId="5768B172"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3E40E40F"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5A79E91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11F008CD"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408E541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32:ADGUH</w:t>
            </w:r>
          </w:p>
        </w:tc>
        <w:tc>
          <w:tcPr>
            <w:tcW w:w="2267" w:type="dxa"/>
            <w:vAlign w:val="bottom"/>
          </w:tcPr>
          <w:p w14:paraId="2F3D22B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300</w:t>
            </w:r>
          </w:p>
        </w:tc>
      </w:tr>
      <w:tr w:rsidR="004A5F9B" w:rsidRPr="008F7D2E" w14:paraId="6B9A43B6"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666C57C0"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656F4BD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9BCA6C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01:CUHJE</w:t>
            </w:r>
          </w:p>
        </w:tc>
        <w:tc>
          <w:tcPr>
            <w:tcW w:w="1559" w:type="dxa"/>
            <w:vAlign w:val="bottom"/>
          </w:tcPr>
          <w:p w14:paraId="55572B4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0C24674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205</w:t>
            </w:r>
          </w:p>
        </w:tc>
      </w:tr>
      <w:tr w:rsidR="004A5F9B" w:rsidRPr="008F7D2E" w14:paraId="505D0358"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8249D2C"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4FAE64C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05DA85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1559" w:type="dxa"/>
            <w:vAlign w:val="bottom"/>
          </w:tcPr>
          <w:p w14:paraId="541027B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02:CZHNR</w:t>
            </w:r>
          </w:p>
        </w:tc>
        <w:tc>
          <w:tcPr>
            <w:tcW w:w="2267" w:type="dxa"/>
            <w:vAlign w:val="bottom"/>
          </w:tcPr>
          <w:p w14:paraId="0ACF5E3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145</w:t>
            </w:r>
          </w:p>
        </w:tc>
      </w:tr>
      <w:tr w:rsidR="004A5F9B" w:rsidRPr="008F7D2E" w14:paraId="32296980"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B5631BE"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54BF19A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42479DB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02:02</w:t>
            </w:r>
          </w:p>
        </w:tc>
        <w:tc>
          <w:tcPr>
            <w:tcW w:w="1559" w:type="dxa"/>
            <w:vAlign w:val="bottom"/>
          </w:tcPr>
          <w:p w14:paraId="50796578"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34:02:00</w:t>
            </w:r>
          </w:p>
        </w:tc>
        <w:tc>
          <w:tcPr>
            <w:tcW w:w="2267" w:type="dxa"/>
            <w:vAlign w:val="bottom"/>
          </w:tcPr>
          <w:p w14:paraId="5C368216"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130</w:t>
            </w:r>
          </w:p>
        </w:tc>
      </w:tr>
      <w:tr w:rsidR="004A5F9B" w:rsidRPr="008F7D2E" w14:paraId="2FB7526B"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79C10F5D"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7E77680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45DDED11"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6DDC850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29:02:01G</w:t>
            </w:r>
          </w:p>
        </w:tc>
        <w:tc>
          <w:tcPr>
            <w:tcW w:w="2267" w:type="dxa"/>
            <w:vAlign w:val="bottom"/>
          </w:tcPr>
          <w:p w14:paraId="3FE783C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260</w:t>
            </w:r>
          </w:p>
        </w:tc>
      </w:tr>
      <w:tr w:rsidR="004A5F9B" w:rsidRPr="008F7D2E" w14:paraId="487A35F2"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26E1A6A5"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39C2BE4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7F0A04A0"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01:01:01G</w:t>
            </w:r>
          </w:p>
        </w:tc>
        <w:tc>
          <w:tcPr>
            <w:tcW w:w="1559" w:type="dxa"/>
            <w:vAlign w:val="bottom"/>
          </w:tcPr>
          <w:p w14:paraId="3E606ABB"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2267" w:type="dxa"/>
            <w:vAlign w:val="bottom"/>
          </w:tcPr>
          <w:p w14:paraId="13EB6479"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200</w:t>
            </w:r>
          </w:p>
        </w:tc>
      </w:tr>
      <w:tr w:rsidR="004A5F9B" w:rsidRPr="008F7D2E" w14:paraId="34E607C5" w14:textId="77777777" w:rsidTr="00612567">
        <w:tc>
          <w:tcPr>
            <w:cnfStyle w:val="001000000000" w:firstRow="0" w:lastRow="0" w:firstColumn="1" w:lastColumn="0" w:oddVBand="0" w:evenVBand="0" w:oddHBand="0" w:evenHBand="0" w:firstRowFirstColumn="0" w:firstRowLastColumn="0" w:lastRowFirstColumn="0" w:lastRowLastColumn="0"/>
            <w:tcW w:w="2972" w:type="dxa"/>
            <w:vMerge/>
            <w:vAlign w:val="bottom"/>
          </w:tcPr>
          <w:p w14:paraId="13746367" w14:textId="77777777" w:rsidR="004A5F9B" w:rsidRPr="008F7D2E" w:rsidRDefault="004A5F9B" w:rsidP="00612567">
            <w:pPr>
              <w:spacing w:line="480" w:lineRule="auto"/>
              <w:jc w:val="both"/>
              <w:rPr>
                <w:rFonts w:ascii="Times New Roman" w:hAnsi="Times New Roman" w:cs="Times New Roman"/>
                <w:sz w:val="22"/>
                <w:szCs w:val="22"/>
              </w:rPr>
            </w:pPr>
          </w:p>
        </w:tc>
        <w:tc>
          <w:tcPr>
            <w:tcW w:w="567" w:type="dxa"/>
          </w:tcPr>
          <w:p w14:paraId="73161BC4"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c>
          <w:tcPr>
            <w:tcW w:w="1985" w:type="dxa"/>
            <w:vAlign w:val="bottom"/>
          </w:tcPr>
          <w:p w14:paraId="323414A2"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02:01:01G</w:t>
            </w:r>
          </w:p>
        </w:tc>
        <w:tc>
          <w:tcPr>
            <w:tcW w:w="1559" w:type="dxa"/>
            <w:vAlign w:val="bottom"/>
          </w:tcPr>
          <w:p w14:paraId="13084A05"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33:01:01G</w:t>
            </w:r>
          </w:p>
        </w:tc>
        <w:tc>
          <w:tcPr>
            <w:tcW w:w="2267" w:type="dxa"/>
            <w:vAlign w:val="bottom"/>
          </w:tcPr>
          <w:p w14:paraId="400C5A03"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8F7D2E">
              <w:rPr>
                <w:rFonts w:ascii="Times New Roman" w:hAnsi="Times New Roman" w:cs="Times New Roman"/>
                <w:color w:val="000000"/>
                <w:sz w:val="22"/>
                <w:szCs w:val="22"/>
              </w:rPr>
              <w:t>90</w:t>
            </w:r>
          </w:p>
        </w:tc>
      </w:tr>
      <w:tr w:rsidR="004A5F9B" w:rsidRPr="008F7D2E" w14:paraId="592C1E40" w14:textId="77777777" w:rsidTr="00612567">
        <w:tc>
          <w:tcPr>
            <w:cnfStyle w:val="001000000000" w:firstRow="0" w:lastRow="0" w:firstColumn="1" w:lastColumn="0" w:oddVBand="0" w:evenVBand="0" w:oddHBand="0" w:evenHBand="0" w:firstRowFirstColumn="0" w:firstRowLastColumn="0" w:lastRowFirstColumn="0" w:lastRowLastColumn="0"/>
            <w:tcW w:w="7083" w:type="dxa"/>
            <w:gridSpan w:val="4"/>
            <w:vAlign w:val="bottom"/>
          </w:tcPr>
          <w:p w14:paraId="77C4F2DF" w14:textId="77777777" w:rsidR="004A5F9B" w:rsidRPr="008F7D2E" w:rsidRDefault="004A5F9B" w:rsidP="00612567">
            <w:pPr>
              <w:spacing w:line="480" w:lineRule="auto"/>
              <w:jc w:val="both"/>
              <w:rPr>
                <w:rFonts w:ascii="Times New Roman" w:hAnsi="Times New Roman" w:cs="Times New Roman"/>
                <w:color w:val="000000"/>
                <w:sz w:val="22"/>
                <w:szCs w:val="22"/>
              </w:rPr>
            </w:pPr>
            <w:r w:rsidRPr="008F7D2E">
              <w:rPr>
                <w:rFonts w:ascii="Times New Roman" w:hAnsi="Times New Roman" w:cs="Times New Roman"/>
                <w:color w:val="000000"/>
                <w:sz w:val="22"/>
                <w:szCs w:val="22"/>
              </w:rPr>
              <w:t>Urothelial median (min, max)</w:t>
            </w:r>
          </w:p>
        </w:tc>
        <w:tc>
          <w:tcPr>
            <w:tcW w:w="2267" w:type="dxa"/>
            <w:vAlign w:val="bottom"/>
          </w:tcPr>
          <w:p w14:paraId="59A63AD7" w14:textId="77777777" w:rsidR="004A5F9B" w:rsidRPr="008F7D2E" w:rsidRDefault="004A5F9B" w:rsidP="00612567">
            <w:pPr>
              <w:spacing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8F7D2E">
              <w:rPr>
                <w:rFonts w:ascii="Times New Roman" w:hAnsi="Times New Roman" w:cs="Times New Roman"/>
                <w:color w:val="000000"/>
                <w:sz w:val="22"/>
                <w:szCs w:val="22"/>
              </w:rPr>
              <w:t>202.5 (90, 300)</w:t>
            </w:r>
          </w:p>
        </w:tc>
      </w:tr>
    </w:tbl>
    <w:p w14:paraId="0C91566B" w14:textId="77777777" w:rsidR="004A5F9B" w:rsidRPr="008F7D2E" w:rsidRDefault="004A5F9B" w:rsidP="004A5F9B">
      <w:pPr>
        <w:spacing w:line="480" w:lineRule="auto"/>
        <w:jc w:val="both"/>
        <w:rPr>
          <w:rFonts w:ascii="Times New Roman" w:hAnsi="Times New Roman" w:cs="Times New Roman"/>
          <w:sz w:val="22"/>
          <w:szCs w:val="22"/>
        </w:rPr>
      </w:pPr>
      <w:proofErr w:type="spellStart"/>
      <w:r w:rsidRPr="008F7D2E">
        <w:rPr>
          <w:rFonts w:ascii="Times New Roman" w:hAnsi="Times New Roman" w:cs="Times New Roman"/>
          <w:sz w:val="22"/>
          <w:szCs w:val="22"/>
          <w:vertAlign w:val="superscript"/>
        </w:rPr>
        <w:t>a</w:t>
      </w:r>
      <w:r w:rsidRPr="008F7D2E">
        <w:rPr>
          <w:rFonts w:ascii="Times New Roman" w:hAnsi="Times New Roman" w:cs="Times New Roman"/>
          <w:sz w:val="22"/>
          <w:szCs w:val="22"/>
        </w:rPr>
        <w:t>H</w:t>
      </w:r>
      <w:proofErr w:type="spellEnd"/>
      <w:r w:rsidRPr="008F7D2E">
        <w:rPr>
          <w:rFonts w:ascii="Times New Roman" w:hAnsi="Times New Roman" w:cs="Times New Roman"/>
          <w:sz w:val="22"/>
          <w:szCs w:val="22"/>
        </w:rPr>
        <w:t xml:space="preserve"> score of immunohistochemical staining strength calculated as: 1 x (% of 1+ cells) + 2 x (% of 2+ cells) + 3 x (% of 3+ cells).</w:t>
      </w:r>
    </w:p>
    <w:p w14:paraId="3EAD0031" w14:textId="77777777" w:rsidR="004A5F9B" w:rsidRPr="008F7D2E" w:rsidRDefault="004A5F9B" w:rsidP="004A5F9B">
      <w:pPr>
        <w:spacing w:line="480" w:lineRule="auto"/>
        <w:jc w:val="both"/>
        <w:rPr>
          <w:rFonts w:ascii="Times New Roman" w:hAnsi="Times New Roman" w:cs="Times New Roman"/>
          <w:sz w:val="22"/>
          <w:szCs w:val="22"/>
        </w:rPr>
      </w:pPr>
      <w:r w:rsidRPr="008F7D2E">
        <w:rPr>
          <w:rFonts w:ascii="Times New Roman" w:hAnsi="Times New Roman" w:cs="Times New Roman"/>
          <w:sz w:val="22"/>
          <w:szCs w:val="22"/>
        </w:rPr>
        <w:t xml:space="preserve">EGJ, esophagogastric junction; HLA, </w:t>
      </w:r>
      <w:r w:rsidRPr="008F7D2E">
        <w:rPr>
          <w:rStyle w:val="Heading2Char"/>
          <w:rFonts w:ascii="Times New Roman" w:eastAsiaTheme="minorEastAsia" w:hAnsi="Times New Roman" w:cs="Times New Roman"/>
          <w:bCs/>
          <w:sz w:val="22"/>
          <w:szCs w:val="22"/>
        </w:rPr>
        <w:t>human leukocyte antigen</w:t>
      </w:r>
      <w:r w:rsidRPr="008F7D2E">
        <w:rPr>
          <w:rFonts w:ascii="Times New Roman" w:hAnsi="Times New Roman" w:cs="Times New Roman"/>
          <w:sz w:val="22"/>
          <w:szCs w:val="22"/>
        </w:rPr>
        <w:t xml:space="preserve">; MAGE-A4 </w:t>
      </w:r>
      <w:r w:rsidRPr="008F7D2E">
        <w:rPr>
          <w:rStyle w:val="Heading2Char"/>
          <w:rFonts w:ascii="Times New Roman" w:eastAsiaTheme="minorEastAsia" w:hAnsi="Times New Roman" w:cs="Times New Roman"/>
          <w:bCs/>
          <w:sz w:val="22"/>
          <w:szCs w:val="22"/>
        </w:rPr>
        <w:t xml:space="preserve">melanoma-associated antigen A4; MRCLS, myxoid/round cell liposarcoma; </w:t>
      </w:r>
      <w:r w:rsidRPr="008F7D2E">
        <w:rPr>
          <w:rFonts w:ascii="Times New Roman" w:hAnsi="Times New Roman" w:cs="Times New Roman"/>
          <w:color w:val="000000"/>
          <w:sz w:val="22"/>
          <w:szCs w:val="22"/>
        </w:rPr>
        <w:t>NSCLC, non-small cell lung carcinoma</w:t>
      </w:r>
      <w:r w:rsidRPr="008F7D2E">
        <w:rPr>
          <w:rFonts w:ascii="Times New Roman" w:hAnsi="Times New Roman" w:cs="Times New Roman"/>
          <w:sz w:val="22"/>
          <w:szCs w:val="22"/>
        </w:rPr>
        <w:t>.</w:t>
      </w:r>
    </w:p>
    <w:p w14:paraId="0DED2FEB" w14:textId="77777777" w:rsidR="004A5F9B" w:rsidRPr="008F7D2E" w:rsidRDefault="004A5F9B" w:rsidP="004A5F9B">
      <w:pPr>
        <w:spacing w:line="480" w:lineRule="auto"/>
        <w:jc w:val="both"/>
        <w:rPr>
          <w:rFonts w:ascii="Times New Roman" w:eastAsiaTheme="majorEastAsia" w:hAnsi="Times New Roman" w:cs="Times New Roman"/>
          <w:b/>
          <w:i/>
          <w:iCs/>
          <w:sz w:val="22"/>
          <w:szCs w:val="18"/>
        </w:rPr>
      </w:pPr>
      <w:r w:rsidRPr="008F7D2E">
        <w:rPr>
          <w:rFonts w:ascii="Times New Roman" w:hAnsi="Times New Roman" w:cs="Times New Roman"/>
        </w:rPr>
        <w:br w:type="page"/>
      </w:r>
    </w:p>
    <w:p w14:paraId="5F541539"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4" w:name="_Ref184383714"/>
      <w:r w:rsidRPr="008F7D2E">
        <w:rPr>
          <w:rFonts w:ascii="Times New Roman" w:hAnsi="Times New Roman" w:cs="Times New Roman"/>
          <w:i w:val="0"/>
          <w:iCs w:val="0"/>
        </w:rPr>
        <w:lastRenderedPageBreak/>
        <w:t xml:space="preserve">Extended Data Table 2 </w:t>
      </w:r>
      <w:bookmarkEnd w:id="4"/>
      <w:r w:rsidRPr="008F7D2E">
        <w:rPr>
          <w:rFonts w:ascii="Times New Roman" w:hAnsi="Times New Roman" w:cs="Times New Roman"/>
          <w:i w:val="0"/>
          <w:iCs w:val="0"/>
        </w:rPr>
        <w:t>│Additional AEs.</w:t>
      </w:r>
    </w:p>
    <w:p w14:paraId="37BF1728" w14:textId="77777777" w:rsidR="004A5F9B" w:rsidRPr="008F7D2E" w:rsidRDefault="004A5F9B" w:rsidP="004A5F9B">
      <w:pPr>
        <w:spacing w:line="480" w:lineRule="auto"/>
        <w:jc w:val="both"/>
        <w:rPr>
          <w:rFonts w:ascii="Times New Roman" w:hAnsi="Times New Roman" w:cs="Times New Roman"/>
          <w:b/>
          <w:i/>
          <w:iCs/>
        </w:rPr>
      </w:pPr>
      <w:r w:rsidRPr="008F7D2E">
        <w:rPr>
          <w:rFonts w:ascii="Times New Roman" w:hAnsi="Times New Roman" w:cs="Times New Roman"/>
        </w:rPr>
        <w:t>AEs and grade ≥ 3 AEs deemed related to either T-cell infusion or lymphodepletion with</w:t>
      </w:r>
      <w:r w:rsidRPr="008F7D2E">
        <w:rPr>
          <w:rFonts w:ascii="Times New Roman" w:hAnsi="Times New Roman" w:cs="Times New Roman"/>
          <w:sz w:val="18"/>
        </w:rPr>
        <w:t xml:space="preserve"> </w:t>
      </w:r>
      <w:r w:rsidRPr="008F7D2E">
        <w:rPr>
          <w:rFonts w:ascii="Times New Roman" w:hAnsi="Times New Roman" w:cs="Times New Roman"/>
        </w:rPr>
        <w:t>fludarabine/cyclophosphamide; and serious AEs (SAEs) of any relationship occurring in ≥ 2 patients in the overall monotherapy group</w:t>
      </w:r>
    </w:p>
    <w:tbl>
      <w:tblPr>
        <w:tblStyle w:val="TableGrid"/>
        <w:tblW w:w="0" w:type="auto"/>
        <w:tblLook w:val="04A0" w:firstRow="1" w:lastRow="0" w:firstColumn="1" w:lastColumn="0" w:noHBand="0" w:noVBand="1"/>
      </w:tblPr>
      <w:tblGrid>
        <w:gridCol w:w="3145"/>
        <w:gridCol w:w="1350"/>
        <w:gridCol w:w="1260"/>
        <w:gridCol w:w="1800"/>
        <w:gridCol w:w="1795"/>
      </w:tblGrid>
      <w:tr w:rsidR="004A5F9B" w:rsidRPr="008F7D2E" w14:paraId="78B592D1" w14:textId="77777777" w:rsidTr="00612567">
        <w:tc>
          <w:tcPr>
            <w:tcW w:w="3145" w:type="dxa"/>
          </w:tcPr>
          <w:p w14:paraId="38E81F24"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Events, n (%)</w:t>
            </w:r>
          </w:p>
        </w:tc>
        <w:tc>
          <w:tcPr>
            <w:tcW w:w="1350" w:type="dxa"/>
            <w:vAlign w:val="center"/>
          </w:tcPr>
          <w:p w14:paraId="3BFF781A"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Group 1</w:t>
            </w:r>
          </w:p>
          <w:p w14:paraId="52AF56FC"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w:t>
            </w:r>
            <w:r w:rsidRPr="008F7D2E">
              <w:rPr>
                <w:rFonts w:ascii="Times New Roman" w:hAnsi="Times New Roman" w:cs="Times New Roman"/>
                <w:b/>
                <w:bCs/>
                <w:i/>
                <w:iCs/>
              </w:rPr>
              <w:t>N</w:t>
            </w:r>
            <w:r w:rsidRPr="008F7D2E">
              <w:rPr>
                <w:rFonts w:ascii="Times New Roman" w:hAnsi="Times New Roman" w:cs="Times New Roman"/>
                <w:b/>
                <w:bCs/>
              </w:rPr>
              <w:t xml:space="preserve"> = 3)</w:t>
            </w:r>
          </w:p>
        </w:tc>
        <w:tc>
          <w:tcPr>
            <w:tcW w:w="1260" w:type="dxa"/>
            <w:vAlign w:val="center"/>
          </w:tcPr>
          <w:p w14:paraId="2BA8DDB6"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Group 2 (</w:t>
            </w:r>
            <w:r w:rsidRPr="008F7D2E">
              <w:rPr>
                <w:rFonts w:ascii="Times New Roman" w:hAnsi="Times New Roman" w:cs="Times New Roman"/>
                <w:b/>
                <w:bCs/>
                <w:i/>
                <w:iCs/>
              </w:rPr>
              <w:t xml:space="preserve">N </w:t>
            </w:r>
            <w:r w:rsidRPr="008F7D2E">
              <w:rPr>
                <w:rFonts w:ascii="Times New Roman" w:hAnsi="Times New Roman" w:cs="Times New Roman"/>
                <w:b/>
                <w:bCs/>
              </w:rPr>
              <w:t>= 3)</w:t>
            </w:r>
          </w:p>
        </w:tc>
        <w:tc>
          <w:tcPr>
            <w:tcW w:w="1800" w:type="dxa"/>
            <w:vAlign w:val="center"/>
          </w:tcPr>
          <w:p w14:paraId="084E52A2"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Expansion monotherapy group</w:t>
            </w:r>
            <w:r w:rsidRPr="008F7D2E">
              <w:rPr>
                <w:rFonts w:ascii="Times New Roman" w:hAnsi="Times New Roman" w:cs="Times New Roman"/>
                <w:b/>
                <w:bCs/>
              </w:rPr>
              <w:br/>
              <w:t>(</w:t>
            </w:r>
            <w:r w:rsidRPr="008F7D2E">
              <w:rPr>
                <w:rFonts w:ascii="Times New Roman" w:hAnsi="Times New Roman" w:cs="Times New Roman"/>
                <w:b/>
                <w:bCs/>
                <w:i/>
                <w:iCs/>
              </w:rPr>
              <w:t>N</w:t>
            </w:r>
            <w:r w:rsidRPr="008F7D2E">
              <w:rPr>
                <w:rFonts w:ascii="Times New Roman" w:hAnsi="Times New Roman" w:cs="Times New Roman"/>
                <w:b/>
                <w:bCs/>
              </w:rPr>
              <w:t xml:space="preserve"> = 41)</w:t>
            </w:r>
          </w:p>
        </w:tc>
        <w:tc>
          <w:tcPr>
            <w:tcW w:w="1795" w:type="dxa"/>
            <w:vAlign w:val="center"/>
          </w:tcPr>
          <w:p w14:paraId="3FC4B737" w14:textId="77777777" w:rsidR="004A5F9B" w:rsidRPr="008F7D2E" w:rsidRDefault="004A5F9B" w:rsidP="00612567">
            <w:pPr>
              <w:spacing w:line="480" w:lineRule="auto"/>
              <w:jc w:val="both"/>
              <w:rPr>
                <w:rFonts w:ascii="Times New Roman" w:hAnsi="Times New Roman" w:cs="Times New Roman"/>
                <w:b/>
                <w:bCs/>
              </w:rPr>
            </w:pPr>
            <w:r w:rsidRPr="008F7D2E">
              <w:rPr>
                <w:rFonts w:ascii="Times New Roman" w:hAnsi="Times New Roman" w:cs="Times New Roman"/>
                <w:b/>
                <w:bCs/>
              </w:rPr>
              <w:t>Overall monotherapy group</w:t>
            </w:r>
            <w:r w:rsidRPr="008F7D2E">
              <w:rPr>
                <w:rFonts w:ascii="Times New Roman" w:hAnsi="Times New Roman" w:cs="Times New Roman"/>
                <w:b/>
                <w:bCs/>
              </w:rPr>
              <w:br/>
              <w:t>(</w:t>
            </w:r>
            <w:r w:rsidRPr="008F7D2E">
              <w:rPr>
                <w:rFonts w:ascii="Times New Roman" w:hAnsi="Times New Roman" w:cs="Times New Roman"/>
                <w:b/>
                <w:bCs/>
                <w:i/>
                <w:iCs/>
              </w:rPr>
              <w:t>N</w:t>
            </w:r>
            <w:r w:rsidRPr="008F7D2E">
              <w:rPr>
                <w:rFonts w:ascii="Times New Roman" w:hAnsi="Times New Roman" w:cs="Times New Roman"/>
                <w:b/>
                <w:bCs/>
              </w:rPr>
              <w:t xml:space="preserve"> = 47)</w:t>
            </w:r>
          </w:p>
        </w:tc>
      </w:tr>
      <w:tr w:rsidR="004A5F9B" w:rsidRPr="008F7D2E" w14:paraId="2934AD7E" w14:textId="77777777" w:rsidTr="00612567">
        <w:tc>
          <w:tcPr>
            <w:tcW w:w="3145" w:type="dxa"/>
          </w:tcPr>
          <w:p w14:paraId="68CE53F5"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Any AEs related to T-cell infusion or lymphodepletion</w:t>
            </w:r>
          </w:p>
        </w:tc>
        <w:tc>
          <w:tcPr>
            <w:tcW w:w="1350" w:type="dxa"/>
            <w:vAlign w:val="center"/>
          </w:tcPr>
          <w:p w14:paraId="4E77DDE8"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260" w:type="dxa"/>
            <w:vAlign w:val="center"/>
          </w:tcPr>
          <w:p w14:paraId="6788E97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800" w:type="dxa"/>
            <w:vAlign w:val="center"/>
          </w:tcPr>
          <w:p w14:paraId="0A707DEE"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41 (100)</w:t>
            </w:r>
          </w:p>
        </w:tc>
        <w:tc>
          <w:tcPr>
            <w:tcW w:w="1795" w:type="dxa"/>
            <w:vAlign w:val="center"/>
          </w:tcPr>
          <w:p w14:paraId="189BB9D4"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47 (100)</w:t>
            </w:r>
          </w:p>
        </w:tc>
      </w:tr>
      <w:tr w:rsidR="004A5F9B" w:rsidRPr="008F7D2E" w14:paraId="0964598E" w14:textId="77777777" w:rsidTr="00612567">
        <w:tc>
          <w:tcPr>
            <w:tcW w:w="3145" w:type="dxa"/>
          </w:tcPr>
          <w:p w14:paraId="64F08C7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Any AE related to cyclophosphamide</w:t>
            </w:r>
          </w:p>
        </w:tc>
        <w:tc>
          <w:tcPr>
            <w:tcW w:w="1350" w:type="dxa"/>
            <w:vAlign w:val="center"/>
          </w:tcPr>
          <w:p w14:paraId="7B48CACD"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260" w:type="dxa"/>
            <w:vAlign w:val="center"/>
          </w:tcPr>
          <w:p w14:paraId="32990F1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800" w:type="dxa"/>
            <w:vAlign w:val="center"/>
          </w:tcPr>
          <w:p w14:paraId="34E3A49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39 (95.1)</w:t>
            </w:r>
          </w:p>
        </w:tc>
        <w:tc>
          <w:tcPr>
            <w:tcW w:w="1795" w:type="dxa"/>
            <w:vAlign w:val="center"/>
          </w:tcPr>
          <w:p w14:paraId="1C2D1AA8"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45 (95.7)</w:t>
            </w:r>
          </w:p>
        </w:tc>
      </w:tr>
      <w:tr w:rsidR="004A5F9B" w:rsidRPr="008F7D2E" w14:paraId="40D14576" w14:textId="77777777" w:rsidTr="00612567">
        <w:tc>
          <w:tcPr>
            <w:tcW w:w="3145" w:type="dxa"/>
          </w:tcPr>
          <w:p w14:paraId="69CC4ABD"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Any AE related to fludarabine</w:t>
            </w:r>
          </w:p>
        </w:tc>
        <w:tc>
          <w:tcPr>
            <w:tcW w:w="1350" w:type="dxa"/>
            <w:vAlign w:val="center"/>
          </w:tcPr>
          <w:p w14:paraId="5D5C30AA"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260" w:type="dxa"/>
            <w:vAlign w:val="center"/>
          </w:tcPr>
          <w:p w14:paraId="34C3DB33"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800" w:type="dxa"/>
            <w:vAlign w:val="center"/>
          </w:tcPr>
          <w:p w14:paraId="58BD0D84"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39 (95.1)</w:t>
            </w:r>
          </w:p>
        </w:tc>
        <w:tc>
          <w:tcPr>
            <w:tcW w:w="1795" w:type="dxa"/>
            <w:vAlign w:val="center"/>
          </w:tcPr>
          <w:p w14:paraId="67BC608F"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45 (95.7)</w:t>
            </w:r>
          </w:p>
        </w:tc>
      </w:tr>
      <w:tr w:rsidR="004A5F9B" w:rsidRPr="008F7D2E" w14:paraId="789F4822" w14:textId="77777777" w:rsidTr="00612567">
        <w:tc>
          <w:tcPr>
            <w:tcW w:w="3145" w:type="dxa"/>
          </w:tcPr>
          <w:p w14:paraId="37628ED8"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Any grade ≥ 3 AEs related to T-cell infusion or lymphodepletion</w:t>
            </w:r>
          </w:p>
        </w:tc>
        <w:tc>
          <w:tcPr>
            <w:tcW w:w="1350" w:type="dxa"/>
            <w:vAlign w:val="center"/>
          </w:tcPr>
          <w:p w14:paraId="5B0EB92D"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260" w:type="dxa"/>
            <w:vAlign w:val="center"/>
          </w:tcPr>
          <w:p w14:paraId="5EE2E2D7"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(100)</w:t>
            </w:r>
          </w:p>
        </w:tc>
        <w:tc>
          <w:tcPr>
            <w:tcW w:w="1800" w:type="dxa"/>
            <w:vAlign w:val="center"/>
          </w:tcPr>
          <w:p w14:paraId="412536BC"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36 (87.8)</w:t>
            </w:r>
          </w:p>
        </w:tc>
        <w:tc>
          <w:tcPr>
            <w:tcW w:w="1795" w:type="dxa"/>
            <w:vAlign w:val="center"/>
          </w:tcPr>
          <w:p w14:paraId="4BB1A1F6"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42 (89.4)</w:t>
            </w:r>
          </w:p>
        </w:tc>
      </w:tr>
      <w:tr w:rsidR="004A5F9B" w:rsidRPr="008F7D2E" w14:paraId="0CE2F183" w14:textId="77777777" w:rsidTr="00612567">
        <w:tc>
          <w:tcPr>
            <w:tcW w:w="3145" w:type="dxa"/>
          </w:tcPr>
          <w:p w14:paraId="119F4487"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Any SAE</w:t>
            </w:r>
          </w:p>
        </w:tc>
        <w:tc>
          <w:tcPr>
            <w:tcW w:w="1350" w:type="dxa"/>
            <w:vAlign w:val="center"/>
          </w:tcPr>
          <w:p w14:paraId="2614B268"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030CFE93"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1 (33.3)</w:t>
            </w:r>
          </w:p>
        </w:tc>
        <w:tc>
          <w:tcPr>
            <w:tcW w:w="1800" w:type="dxa"/>
            <w:vAlign w:val="center"/>
          </w:tcPr>
          <w:p w14:paraId="248F091F"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31 (75.6)</w:t>
            </w:r>
          </w:p>
        </w:tc>
        <w:tc>
          <w:tcPr>
            <w:tcW w:w="1795" w:type="dxa"/>
            <w:vAlign w:val="center"/>
          </w:tcPr>
          <w:p w14:paraId="1E5DBB3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32 (68.1)</w:t>
            </w:r>
          </w:p>
        </w:tc>
      </w:tr>
      <w:tr w:rsidR="004A5F9B" w:rsidRPr="008F7D2E" w14:paraId="33BE571C" w14:textId="77777777" w:rsidTr="00612567">
        <w:tc>
          <w:tcPr>
            <w:tcW w:w="3145" w:type="dxa"/>
          </w:tcPr>
          <w:p w14:paraId="7957F698"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CRS</w:t>
            </w:r>
          </w:p>
        </w:tc>
        <w:tc>
          <w:tcPr>
            <w:tcW w:w="1350" w:type="dxa"/>
            <w:vAlign w:val="center"/>
          </w:tcPr>
          <w:p w14:paraId="3E9C146A"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04C7EF44"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1 (33.3)</w:t>
            </w:r>
          </w:p>
        </w:tc>
        <w:tc>
          <w:tcPr>
            <w:tcW w:w="1800" w:type="dxa"/>
            <w:vAlign w:val="center"/>
          </w:tcPr>
          <w:p w14:paraId="0532C57E"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15 (36.6)</w:t>
            </w:r>
          </w:p>
        </w:tc>
        <w:tc>
          <w:tcPr>
            <w:tcW w:w="1795" w:type="dxa"/>
            <w:vAlign w:val="center"/>
          </w:tcPr>
          <w:p w14:paraId="07CF38AF"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16 (34.0)</w:t>
            </w:r>
          </w:p>
        </w:tc>
      </w:tr>
      <w:tr w:rsidR="004A5F9B" w:rsidRPr="008F7D2E" w14:paraId="6BCC3BBD" w14:textId="77777777" w:rsidTr="00612567">
        <w:tc>
          <w:tcPr>
            <w:tcW w:w="3145" w:type="dxa"/>
          </w:tcPr>
          <w:p w14:paraId="2820963B"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Pyrexia</w:t>
            </w:r>
          </w:p>
        </w:tc>
        <w:tc>
          <w:tcPr>
            <w:tcW w:w="1350" w:type="dxa"/>
            <w:vAlign w:val="center"/>
          </w:tcPr>
          <w:p w14:paraId="05300CBC"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1F653DB9"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09FDA93E"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5 (12.2)</w:t>
            </w:r>
          </w:p>
        </w:tc>
        <w:tc>
          <w:tcPr>
            <w:tcW w:w="1795" w:type="dxa"/>
            <w:vAlign w:val="center"/>
          </w:tcPr>
          <w:p w14:paraId="63526A7D"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5 (10.6)</w:t>
            </w:r>
          </w:p>
        </w:tc>
      </w:tr>
      <w:tr w:rsidR="004A5F9B" w:rsidRPr="008F7D2E" w14:paraId="44FFB016" w14:textId="77777777" w:rsidTr="00612567">
        <w:tc>
          <w:tcPr>
            <w:tcW w:w="3145" w:type="dxa"/>
          </w:tcPr>
          <w:p w14:paraId="151CA4F1"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Immune effector cell-associated neurotoxicity syndrome</w:t>
            </w:r>
          </w:p>
        </w:tc>
        <w:tc>
          <w:tcPr>
            <w:tcW w:w="1350" w:type="dxa"/>
            <w:vAlign w:val="center"/>
          </w:tcPr>
          <w:p w14:paraId="06F07EF5"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53432278"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518E288A"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 (9.8)</w:t>
            </w:r>
          </w:p>
        </w:tc>
        <w:tc>
          <w:tcPr>
            <w:tcW w:w="1795" w:type="dxa"/>
            <w:vAlign w:val="center"/>
          </w:tcPr>
          <w:p w14:paraId="55B612E5"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4 (8.5)</w:t>
            </w:r>
          </w:p>
        </w:tc>
      </w:tr>
      <w:tr w:rsidR="004A5F9B" w:rsidRPr="008F7D2E" w14:paraId="5DB0ABD5" w14:textId="77777777" w:rsidTr="00612567">
        <w:tc>
          <w:tcPr>
            <w:tcW w:w="3145" w:type="dxa"/>
          </w:tcPr>
          <w:p w14:paraId="20130E1E"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lastRenderedPageBreak/>
              <w:t>Hypoxia</w:t>
            </w:r>
          </w:p>
        </w:tc>
        <w:tc>
          <w:tcPr>
            <w:tcW w:w="1350" w:type="dxa"/>
            <w:vAlign w:val="center"/>
          </w:tcPr>
          <w:p w14:paraId="16114B6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3085576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0675CBE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(7.3)</w:t>
            </w:r>
          </w:p>
        </w:tc>
        <w:tc>
          <w:tcPr>
            <w:tcW w:w="1795" w:type="dxa"/>
            <w:vAlign w:val="center"/>
          </w:tcPr>
          <w:p w14:paraId="701B2D95"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3 (6.4)</w:t>
            </w:r>
          </w:p>
        </w:tc>
      </w:tr>
      <w:tr w:rsidR="004A5F9B" w:rsidRPr="008F7D2E" w14:paraId="52D94570" w14:textId="77777777" w:rsidTr="00612567">
        <w:tc>
          <w:tcPr>
            <w:tcW w:w="3145" w:type="dxa"/>
          </w:tcPr>
          <w:p w14:paraId="5DBCEA36"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Dyspnea</w:t>
            </w:r>
          </w:p>
        </w:tc>
        <w:tc>
          <w:tcPr>
            <w:tcW w:w="1350" w:type="dxa"/>
            <w:vAlign w:val="center"/>
          </w:tcPr>
          <w:p w14:paraId="3371FFAC"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376A2C19"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7F2A80E9"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(4.9)</w:t>
            </w:r>
          </w:p>
        </w:tc>
        <w:tc>
          <w:tcPr>
            <w:tcW w:w="1795" w:type="dxa"/>
            <w:vAlign w:val="center"/>
          </w:tcPr>
          <w:p w14:paraId="1CA075F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(4.3)</w:t>
            </w:r>
          </w:p>
        </w:tc>
      </w:tr>
      <w:tr w:rsidR="004A5F9B" w:rsidRPr="008F7D2E" w14:paraId="45030830" w14:textId="77777777" w:rsidTr="00612567">
        <w:tc>
          <w:tcPr>
            <w:tcW w:w="3145" w:type="dxa"/>
          </w:tcPr>
          <w:p w14:paraId="7449BDF0"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Pleural effusion</w:t>
            </w:r>
          </w:p>
        </w:tc>
        <w:tc>
          <w:tcPr>
            <w:tcW w:w="1350" w:type="dxa"/>
            <w:vAlign w:val="center"/>
          </w:tcPr>
          <w:p w14:paraId="4C08A1BD"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0231ABC0"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4696A14B"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(4.9)</w:t>
            </w:r>
          </w:p>
        </w:tc>
        <w:tc>
          <w:tcPr>
            <w:tcW w:w="1795" w:type="dxa"/>
            <w:vAlign w:val="center"/>
          </w:tcPr>
          <w:p w14:paraId="1BB68B19"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(4.3)</w:t>
            </w:r>
          </w:p>
        </w:tc>
      </w:tr>
      <w:tr w:rsidR="004A5F9B" w:rsidRPr="008F7D2E" w14:paraId="73267DDB" w14:textId="77777777" w:rsidTr="00612567">
        <w:tc>
          <w:tcPr>
            <w:tcW w:w="3145" w:type="dxa"/>
          </w:tcPr>
          <w:p w14:paraId="205DE591" w14:textId="77777777" w:rsidR="004A5F9B" w:rsidRPr="008F7D2E" w:rsidRDefault="004A5F9B" w:rsidP="00612567">
            <w:pPr>
              <w:spacing w:line="480" w:lineRule="auto"/>
              <w:ind w:left="317"/>
              <w:jc w:val="both"/>
              <w:rPr>
                <w:rFonts w:ascii="Times New Roman" w:hAnsi="Times New Roman" w:cs="Times New Roman"/>
              </w:rPr>
            </w:pPr>
            <w:r w:rsidRPr="008F7D2E">
              <w:rPr>
                <w:rFonts w:ascii="Times New Roman" w:hAnsi="Times New Roman" w:cs="Times New Roman"/>
              </w:rPr>
              <w:t>Drug reaction with eosinophilia and systemic symptoms</w:t>
            </w:r>
          </w:p>
        </w:tc>
        <w:tc>
          <w:tcPr>
            <w:tcW w:w="1350" w:type="dxa"/>
            <w:vAlign w:val="center"/>
          </w:tcPr>
          <w:p w14:paraId="4D3CB422"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260" w:type="dxa"/>
            <w:vAlign w:val="center"/>
          </w:tcPr>
          <w:p w14:paraId="2CD748A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w:t>
            </w:r>
          </w:p>
        </w:tc>
        <w:tc>
          <w:tcPr>
            <w:tcW w:w="1800" w:type="dxa"/>
            <w:vAlign w:val="center"/>
          </w:tcPr>
          <w:p w14:paraId="5A0A1EE1"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(4.9)</w:t>
            </w:r>
          </w:p>
        </w:tc>
        <w:tc>
          <w:tcPr>
            <w:tcW w:w="1795" w:type="dxa"/>
            <w:vAlign w:val="center"/>
          </w:tcPr>
          <w:p w14:paraId="514F8823" w14:textId="77777777" w:rsidR="004A5F9B" w:rsidRPr="008F7D2E" w:rsidRDefault="004A5F9B" w:rsidP="00612567">
            <w:pPr>
              <w:spacing w:line="480" w:lineRule="auto"/>
              <w:jc w:val="both"/>
              <w:rPr>
                <w:rFonts w:ascii="Times New Roman" w:hAnsi="Times New Roman" w:cs="Times New Roman"/>
              </w:rPr>
            </w:pPr>
            <w:r w:rsidRPr="008F7D2E">
              <w:rPr>
                <w:rFonts w:ascii="Times New Roman" w:hAnsi="Times New Roman" w:cs="Times New Roman"/>
              </w:rPr>
              <w:t>2 (4.3)</w:t>
            </w:r>
          </w:p>
        </w:tc>
      </w:tr>
    </w:tbl>
    <w:p w14:paraId="26B71DEA" w14:textId="77777777" w:rsidR="004A5F9B" w:rsidRPr="008F7D2E" w:rsidRDefault="004A5F9B" w:rsidP="004A5F9B">
      <w:pPr>
        <w:spacing w:line="480" w:lineRule="auto"/>
        <w:jc w:val="both"/>
        <w:rPr>
          <w:rFonts w:ascii="Times New Roman" w:hAnsi="Times New Roman" w:cs="Times New Roman"/>
        </w:rPr>
        <w:sectPr w:rsidR="004A5F9B" w:rsidRPr="008F7D2E" w:rsidSect="004A5F9B">
          <w:pgSz w:w="12240" w:h="15840"/>
          <w:pgMar w:top="1440" w:right="1440" w:bottom="1440" w:left="1440" w:header="720" w:footer="720" w:gutter="0"/>
          <w:cols w:space="720"/>
          <w:docGrid w:linePitch="360"/>
        </w:sectPr>
      </w:pPr>
      <w:bookmarkStart w:id="5" w:name="_Ref184388380"/>
      <w:r w:rsidRPr="008F7D2E">
        <w:rPr>
          <w:rFonts w:ascii="Times New Roman" w:hAnsi="Times New Roman" w:cs="Times New Roman"/>
        </w:rPr>
        <w:t xml:space="preserve">AE, adverse event; CRS, cytokine release syndrome; SAE, serious adverse event. </w:t>
      </w:r>
    </w:p>
    <w:p w14:paraId="5A036E73" w14:textId="77777777" w:rsidR="004A5F9B" w:rsidRPr="008F7D2E" w:rsidRDefault="004A5F9B" w:rsidP="004A5F9B">
      <w:pPr>
        <w:pStyle w:val="Caption"/>
        <w:spacing w:line="480" w:lineRule="auto"/>
        <w:jc w:val="both"/>
        <w:rPr>
          <w:rFonts w:ascii="Times New Roman" w:hAnsi="Times New Roman" w:cs="Times New Roman"/>
          <w:bCs/>
          <w:i w:val="0"/>
          <w:iCs w:val="0"/>
        </w:rPr>
      </w:pPr>
      <w:bookmarkStart w:id="6" w:name="_Ref192844039"/>
      <w:r w:rsidRPr="008F7D2E">
        <w:rPr>
          <w:rFonts w:ascii="Times New Roman" w:hAnsi="Times New Roman" w:cs="Times New Roman"/>
          <w:i w:val="0"/>
          <w:iCs w:val="0"/>
        </w:rPr>
        <w:lastRenderedPageBreak/>
        <w:t xml:space="preserve">Extended Data Fig. </w:t>
      </w:r>
      <w:bookmarkEnd w:id="5"/>
      <w:bookmarkEnd w:id="6"/>
      <w:r w:rsidRPr="008F7D2E">
        <w:rPr>
          <w:rFonts w:ascii="Times New Roman" w:hAnsi="Times New Roman" w:cs="Times New Roman"/>
          <w:i w:val="0"/>
          <w:iCs w:val="0"/>
        </w:rPr>
        <w:t>3 │</w:t>
      </w:r>
      <w:r w:rsidRPr="008F7D2E">
        <w:rPr>
          <w:rFonts w:ascii="Times New Roman" w:hAnsi="Times New Roman" w:cs="Times New Roman"/>
          <w:bCs/>
          <w:i w:val="0"/>
          <w:iCs w:val="0"/>
        </w:rPr>
        <w:t>Insertional oncogenesis in 9 patients.</w:t>
      </w:r>
    </w:p>
    <w:p w14:paraId="50B126D1"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b/>
          <w:bCs/>
        </w:rPr>
        <w:t>a,</w:t>
      </w:r>
      <w:r w:rsidRPr="008F7D2E">
        <w:rPr>
          <w:rFonts w:ascii="Times New Roman" w:hAnsi="Times New Roman" w:cs="Times New Roman"/>
        </w:rPr>
        <w:t xml:space="preserve"> </w:t>
      </w:r>
      <w:proofErr w:type="spellStart"/>
      <w:r w:rsidRPr="008F7D2E">
        <w:rPr>
          <w:rFonts w:ascii="Times New Roman" w:hAnsi="Times New Roman" w:cs="Times New Roman"/>
        </w:rPr>
        <w:t>Pielou</w:t>
      </w:r>
      <w:proofErr w:type="spellEnd"/>
      <w:r w:rsidRPr="008F7D2E">
        <w:rPr>
          <w:rFonts w:ascii="Times New Roman" w:hAnsi="Times New Roman" w:cs="Times New Roman"/>
        </w:rPr>
        <w:t xml:space="preserve"> evenness index, between 0 and 1, where 1 means the distribution of all the sites is completely even, that is, no clonal dominance. </w:t>
      </w:r>
      <w:r w:rsidRPr="008F7D2E">
        <w:rPr>
          <w:rFonts w:ascii="Times New Roman" w:hAnsi="Times New Roman" w:cs="Times New Roman"/>
          <w:b/>
          <w:bCs/>
        </w:rPr>
        <w:t>b,</w:t>
      </w:r>
      <w:r w:rsidRPr="008F7D2E">
        <w:rPr>
          <w:rFonts w:ascii="Times New Roman" w:hAnsi="Times New Roman" w:cs="Times New Roman"/>
        </w:rPr>
        <w:t xml:space="preserve"> Relative abundance of top clones, with oncogenes (as included on the COSMIC oncogene list) denoted by tilde (~). The numbers above each column are the numbers of cells that were sampled.</w:t>
      </w:r>
      <w:r w:rsidRPr="008F7D2E">
        <w:rPr>
          <w:rFonts w:ascii="Times New Roman" w:hAnsi="Times New Roman" w:cs="Times New Roman"/>
        </w:rPr>
        <w:fldChar w:fldCharType="begin"/>
      </w:r>
      <w:r w:rsidRPr="008F7D2E">
        <w:rPr>
          <w:rFonts w:ascii="Times New Roman" w:hAnsi="Times New Roman" w:cs="Times New Roman"/>
        </w:rPr>
        <w:instrText xml:space="preserve"> ADDIN EN.CITE &lt;EndNote&gt;&lt;Cite&gt;&lt;Author&gt;Berry&lt;/Author&gt;&lt;Year&gt;2012&lt;/Year&gt;&lt;RecNum&gt;17&lt;/RecNum&gt;&lt;DisplayText&gt;&lt;style face="superscript"&gt;19&lt;/style&gt;&lt;/DisplayText&gt;&lt;record&gt;&lt;rec-number&gt;17&lt;/rec-number&gt;&lt;foreign-keys&gt;&lt;key app="EN" db-id="vswz2f50rx5x5ueet5tpx2ro5a50xzastffe" timestamp="1741896339"&gt;17&lt;/key&gt;&lt;/foreign-keys&gt;&lt;ref-type name="Journal Article"&gt;17&lt;/ref-type&gt;&lt;contributors&gt;&lt;authors&gt;&lt;author&gt;Berry, C. C.&lt;/author&gt;&lt;author&gt;Gillet, N. A.&lt;/author&gt;&lt;author&gt;Melamed, A.&lt;/author&gt;&lt;author&gt;Gormley, N.&lt;/author&gt;&lt;author&gt;Bangham, C. R.&lt;/author&gt;&lt;author&gt;Bushman, F. D.&lt;/author&gt;&lt;/authors&gt;&lt;/contributors&gt;&lt;auth-address&gt;Department of Family and Preventive Medicine, University of California, La Jolla, CA, USA. ccberry@ucsd.edu&lt;/auth-address&gt;&lt;titles&gt;&lt;title&gt;Estimating abundances of retroviral insertion sites from DNA fragment length data&lt;/title&gt;&lt;secondary-title&gt;Bioinformatics&lt;/secondary-title&gt;&lt;/titles&gt;&lt;periodical&gt;&lt;full-title&gt;Bioinformatics&lt;/full-title&gt;&lt;abbr-1&gt;Bioinformatics&lt;/abbr-1&gt;&lt;abbr-2&gt;Bioinformatics&lt;/abbr-2&gt;&lt;/periodical&gt;&lt;pages&gt;755-62&lt;/pages&gt;&lt;volume&gt;28&lt;/volume&gt;&lt;number&gt;6&lt;/number&gt;&lt;edition&gt;2012/01/13&lt;/edition&gt;&lt;keywords&gt;&lt;keyword&gt;*Algorithms&lt;/keyword&gt;&lt;keyword&gt;HTLV-I Infections/genetics/*virology&lt;/keyword&gt;&lt;keyword&gt;*Human T-lymphotropic virus 1&lt;/keyword&gt;&lt;keyword&gt;Humans&lt;/keyword&gt;&lt;keyword&gt;*Virus Integration&lt;/keyword&gt;&lt;/keywords&gt;&lt;dates&gt;&lt;year&gt;2012&lt;/year&gt;&lt;pub-dates&gt;&lt;date&gt;Mar 15&lt;/date&gt;&lt;/pub-dates&gt;&lt;/dates&gt;&lt;isbn&gt;1367-4803 (Print)&amp;#xD;1367-4803&lt;/isbn&gt;&lt;accession-num&gt;22238265&lt;/accession-num&gt;&lt;urls&gt;&lt;/urls&gt;&lt;custom2&gt;PMC3307109&lt;/custom2&gt;&lt;electronic-resource-num&gt;10.1093/bioinformatics/bts004&lt;/electronic-resource-num&gt;&lt;remote-database-provider&gt;NLM&lt;/remote-database-provider&gt;&lt;language&gt;eng&lt;/language&gt;&lt;/record&gt;&lt;/Cite&gt;&lt;/EndNote&gt;</w:instrText>
      </w:r>
      <w:r w:rsidRPr="008F7D2E">
        <w:rPr>
          <w:rFonts w:ascii="Times New Roman" w:hAnsi="Times New Roman" w:cs="Times New Roman"/>
        </w:rPr>
        <w:fldChar w:fldCharType="separate"/>
      </w:r>
      <w:r w:rsidRPr="008F7D2E">
        <w:rPr>
          <w:rFonts w:ascii="Times New Roman" w:hAnsi="Times New Roman" w:cs="Times New Roman"/>
          <w:noProof/>
          <w:vertAlign w:val="superscript"/>
        </w:rPr>
        <w:t>19</w:t>
      </w:r>
      <w:r w:rsidRPr="008F7D2E">
        <w:rPr>
          <w:rFonts w:ascii="Times New Roman" w:hAnsi="Times New Roman" w:cs="Times New Roman"/>
        </w:rPr>
        <w:fldChar w:fldCharType="end"/>
      </w:r>
      <w:r w:rsidRPr="008F7D2E">
        <w:rPr>
          <w:rFonts w:ascii="Times New Roman" w:hAnsi="Times New Roman" w:cs="Times New Roman"/>
        </w:rPr>
        <w:t xml:space="preserve"> These counts help provide context for the relative abundance values. COSMIC, catalogue of somatic mutations in cancer.  </w:t>
      </w:r>
    </w:p>
    <w:p w14:paraId="372AEF20" w14:textId="77777777" w:rsidR="004A5F9B" w:rsidRPr="008F7D2E" w:rsidRDefault="004A5F9B" w:rsidP="004A5F9B">
      <w:pPr>
        <w:pStyle w:val="NormalWeb"/>
        <w:spacing w:line="480" w:lineRule="auto"/>
        <w:jc w:val="both"/>
        <w:rPr>
          <w:sz w:val="20"/>
          <w:szCs w:val="20"/>
        </w:rPr>
      </w:pPr>
      <w:r w:rsidRPr="008F7D2E">
        <w:rPr>
          <w:noProof/>
          <w:sz w:val="20"/>
          <w:szCs w:val="20"/>
        </w:rPr>
        <w:drawing>
          <wp:inline distT="0" distB="0" distL="0" distR="0" wp14:anchorId="19AAFF20" wp14:editId="500A3F79">
            <wp:extent cx="6156485" cy="5024387"/>
            <wp:effectExtent l="0" t="0" r="0" b="5080"/>
            <wp:docPr id="9482528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82776" cy="5045843"/>
                    </a:xfrm>
                    <a:prstGeom prst="rect">
                      <a:avLst/>
                    </a:prstGeom>
                    <a:noFill/>
                    <a:ln>
                      <a:noFill/>
                    </a:ln>
                  </pic:spPr>
                </pic:pic>
              </a:graphicData>
            </a:graphic>
          </wp:inline>
        </w:drawing>
      </w:r>
    </w:p>
    <w:p w14:paraId="0524783E" w14:textId="77777777" w:rsidR="004A5F9B" w:rsidRPr="008F7D2E" w:rsidRDefault="004A5F9B" w:rsidP="004A5F9B">
      <w:pPr>
        <w:pStyle w:val="Caption"/>
        <w:spacing w:line="480" w:lineRule="auto"/>
        <w:jc w:val="both"/>
        <w:rPr>
          <w:rFonts w:ascii="Times New Roman" w:hAnsi="Times New Roman" w:cs="Times New Roman"/>
        </w:rPr>
        <w:sectPr w:rsidR="004A5F9B" w:rsidRPr="008F7D2E" w:rsidSect="004A5F9B">
          <w:pgSz w:w="12240" w:h="15840"/>
          <w:pgMar w:top="1440" w:right="1440" w:bottom="1440" w:left="1440" w:header="720" w:footer="720" w:gutter="0"/>
          <w:cols w:space="720"/>
          <w:docGrid w:linePitch="360"/>
        </w:sectPr>
      </w:pPr>
      <w:bookmarkStart w:id="7" w:name="_Ref184393193"/>
      <w:bookmarkStart w:id="8" w:name="_Ref184393189"/>
    </w:p>
    <w:p w14:paraId="63259F4A"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9" w:name="_Ref192849753"/>
      <w:r w:rsidRPr="008F7D2E">
        <w:rPr>
          <w:rFonts w:ascii="Times New Roman" w:hAnsi="Times New Roman" w:cs="Times New Roman"/>
          <w:i w:val="0"/>
          <w:iCs w:val="0"/>
        </w:rPr>
        <w:lastRenderedPageBreak/>
        <w:t xml:space="preserve">Extended Data Fig. </w:t>
      </w:r>
      <w:bookmarkEnd w:id="9"/>
      <w:r w:rsidRPr="008F7D2E">
        <w:rPr>
          <w:rFonts w:ascii="Times New Roman" w:hAnsi="Times New Roman" w:cs="Times New Roman"/>
          <w:i w:val="0"/>
          <w:iCs w:val="0"/>
        </w:rPr>
        <w:t>4 │Illustrative scans of patients with a response.</w:t>
      </w:r>
    </w:p>
    <w:p w14:paraId="355CBFA3"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b/>
          <w:bCs/>
        </w:rPr>
        <w:t>a,</w:t>
      </w:r>
      <w:r w:rsidRPr="008F7D2E">
        <w:rPr>
          <w:rFonts w:ascii="Times New Roman" w:hAnsi="Times New Roman" w:cs="Times New Roman"/>
        </w:rPr>
        <w:t xml:space="preserve"> A 69-year-old man with stage IV SCC head and neck cancer, with baseline MAGE-A4 expression in tumor cells of 85% at 3+,10% at 2+, and 5% at 1+ staining intensity (H score of 280). Baseline sum of lesion diameters was 111 mm across 5 target lesions. Prior systemic therapies were platinum-based therapy, nivolumab, and taxane/cetuximab. He was treated with 5 billion transduced T cells, and the partial response was initially reported at week 4 and later confirmed. </w:t>
      </w:r>
      <w:r w:rsidRPr="008F7D2E">
        <w:rPr>
          <w:rFonts w:ascii="Times New Roman" w:hAnsi="Times New Roman" w:cs="Times New Roman"/>
          <w:b/>
          <w:bCs/>
        </w:rPr>
        <w:t>b,</w:t>
      </w:r>
      <w:r w:rsidRPr="008F7D2E">
        <w:rPr>
          <w:rFonts w:ascii="Times New Roman" w:hAnsi="Times New Roman" w:cs="Times New Roman"/>
        </w:rPr>
        <w:t xml:space="preserve"> A 68-year-old patient with high grade serous ovarian cancer with prior history of multiple surgeries and systemic therapies. Baseline tumor MAGE-A4 expression was 25% tumor cells with 3+, 45% with 2+, and 30% with 1+ staining (H score of 195). She received 6.6 billion transduced T cells, and the partial response was seen at week 4 and confirmed at week 8. </w:t>
      </w:r>
      <w:r w:rsidRPr="008F7D2E">
        <w:rPr>
          <w:rFonts w:ascii="Times New Roman" w:hAnsi="Times New Roman" w:cs="Times New Roman"/>
          <w:b/>
          <w:bCs/>
        </w:rPr>
        <w:t>c,</w:t>
      </w:r>
      <w:r w:rsidRPr="008F7D2E">
        <w:rPr>
          <w:rFonts w:ascii="Times New Roman" w:hAnsi="Times New Roman" w:cs="Times New Roman"/>
        </w:rPr>
        <w:t xml:space="preserve"> A 56-year-old patient with high grade serous ovarian cancer with prior history of multiple surgeries and systemic therapies. Baseline tumor MAGE-A4 expression was 95% tumor cells with 3+, and 5% with 2+ staining (H score of 295). She received 3.24 billion transduced T cells, and the complete response was seen at week 4 and confirmed at week 8.</w:t>
      </w:r>
    </w:p>
    <w:p w14:paraId="42309D51"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rPr>
        <w:t xml:space="preserve">H score of immunohistochemical staining strength calculated as: 1 x (% of 1+ cells) + 2 x (% of 2+ cells) + 3 x (% of 3+ cells); MAGE-A4, </w:t>
      </w:r>
      <w:r w:rsidRPr="008F7D2E">
        <w:rPr>
          <w:rStyle w:val="Heading2Char"/>
          <w:rFonts w:ascii="Times New Roman" w:eastAsiaTheme="minorEastAsia" w:hAnsi="Times New Roman" w:cs="Times New Roman"/>
          <w:bCs/>
          <w:szCs w:val="24"/>
        </w:rPr>
        <w:t>melanoma-associated antigen A4</w:t>
      </w:r>
      <w:r w:rsidRPr="008F7D2E">
        <w:rPr>
          <w:rFonts w:ascii="Times New Roman" w:hAnsi="Times New Roman" w:cs="Times New Roman"/>
        </w:rPr>
        <w:t xml:space="preserve">; SCC, squamous cell carcinoma. </w:t>
      </w:r>
    </w:p>
    <w:p w14:paraId="5E1002BE"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noProof/>
        </w:rPr>
        <w:lastRenderedPageBreak/>
        <w:drawing>
          <wp:inline distT="0" distB="0" distL="0" distR="0" wp14:anchorId="3431DE6C" wp14:editId="782EAA6D">
            <wp:extent cx="6025480" cy="6949440"/>
            <wp:effectExtent l="0" t="0" r="0" b="3810"/>
            <wp:docPr id="1350952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27494" cy="6951763"/>
                    </a:xfrm>
                    <a:prstGeom prst="rect">
                      <a:avLst/>
                    </a:prstGeom>
                    <a:noFill/>
                    <a:ln>
                      <a:noFill/>
                    </a:ln>
                  </pic:spPr>
                </pic:pic>
              </a:graphicData>
            </a:graphic>
          </wp:inline>
        </w:drawing>
      </w:r>
    </w:p>
    <w:p w14:paraId="27461675" w14:textId="77777777" w:rsidR="004A5F9B" w:rsidRPr="008F7D2E" w:rsidRDefault="004A5F9B" w:rsidP="004A5F9B">
      <w:pPr>
        <w:spacing w:line="480" w:lineRule="auto"/>
        <w:jc w:val="both"/>
        <w:rPr>
          <w:rFonts w:ascii="Times New Roman" w:hAnsi="Times New Roman" w:cs="Times New Roman"/>
        </w:rPr>
      </w:pPr>
    </w:p>
    <w:p w14:paraId="46D83B67" w14:textId="77777777" w:rsidR="004A5F9B" w:rsidRPr="008F7D2E" w:rsidRDefault="004A5F9B" w:rsidP="004A5F9B">
      <w:pPr>
        <w:spacing w:line="480" w:lineRule="auto"/>
        <w:jc w:val="both"/>
        <w:rPr>
          <w:rFonts w:ascii="Times New Roman" w:hAnsi="Times New Roman" w:cs="Times New Roman"/>
        </w:rPr>
        <w:sectPr w:rsidR="004A5F9B" w:rsidRPr="008F7D2E" w:rsidSect="004A5F9B">
          <w:pgSz w:w="12240" w:h="15840"/>
          <w:pgMar w:top="1440" w:right="1440" w:bottom="1440" w:left="1440" w:header="720" w:footer="720" w:gutter="0"/>
          <w:cols w:space="720"/>
          <w:docGrid w:linePitch="360"/>
        </w:sectPr>
      </w:pPr>
    </w:p>
    <w:p w14:paraId="706BC165"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10" w:name="_Ref193207950"/>
      <w:r w:rsidRPr="008F7D2E">
        <w:rPr>
          <w:rFonts w:ascii="Times New Roman" w:hAnsi="Times New Roman" w:cs="Times New Roman"/>
          <w:i w:val="0"/>
          <w:iCs w:val="0"/>
        </w:rPr>
        <w:lastRenderedPageBreak/>
        <w:t xml:space="preserve">Extended Data Fig. </w:t>
      </w:r>
      <w:bookmarkEnd w:id="10"/>
      <w:r w:rsidRPr="008F7D2E">
        <w:rPr>
          <w:rFonts w:ascii="Times New Roman" w:hAnsi="Times New Roman" w:cs="Times New Roman"/>
          <w:i w:val="0"/>
          <w:iCs w:val="0"/>
        </w:rPr>
        <w:t>5 │Prognostic characteristics of patients in the monotherapy cohort.</w:t>
      </w:r>
    </w:p>
    <w:p w14:paraId="70E73DDE" w14:textId="77777777" w:rsidR="004A5F9B" w:rsidRPr="008F7D2E" w:rsidRDefault="004A5F9B" w:rsidP="004A5F9B">
      <w:pPr>
        <w:spacing w:after="0" w:line="480" w:lineRule="auto"/>
        <w:jc w:val="both"/>
        <w:rPr>
          <w:rFonts w:ascii="Times New Roman" w:hAnsi="Times New Roman" w:cs="Times New Roman"/>
        </w:rPr>
      </w:pPr>
      <w:r w:rsidRPr="008F7D2E">
        <w:rPr>
          <w:rFonts w:ascii="Times New Roman" w:hAnsi="Times New Roman" w:cs="Times New Roman"/>
        </w:rPr>
        <w:t xml:space="preserve">Forest plot of post-hoc subgroup analysis of overall response rate (with 95% CI by Clopper-Pearson/exact binomial) in different subgroups of patients in the monotherapy cohort. H score of immunohistochemical staining strength calculated as: 1 x (% of 1+ cells) + 2 x (% of 2+ cells) + 3 x (% of 3+ cells); CRS, cytokine release syndrome; MAGE-A4, </w:t>
      </w:r>
      <w:r w:rsidRPr="008F7D2E">
        <w:rPr>
          <w:rStyle w:val="Heading2Char"/>
          <w:rFonts w:ascii="Times New Roman" w:eastAsiaTheme="minorEastAsia" w:hAnsi="Times New Roman" w:cs="Times New Roman"/>
          <w:bCs/>
          <w:szCs w:val="24"/>
        </w:rPr>
        <w:t>melanoma-associated antigen A4</w:t>
      </w:r>
      <w:r w:rsidRPr="008F7D2E">
        <w:rPr>
          <w:rFonts w:ascii="Times New Roman" w:hAnsi="Times New Roman" w:cs="Times New Roman"/>
        </w:rPr>
        <w:t xml:space="preserve">; SLD, sum of lesion diameters. </w:t>
      </w:r>
    </w:p>
    <w:p w14:paraId="723D695A"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noProof/>
        </w:rPr>
        <w:lastRenderedPageBreak/>
        <w:drawing>
          <wp:inline distT="0" distB="0" distL="0" distR="0" wp14:anchorId="314D0598" wp14:editId="72DC6491">
            <wp:extent cx="7909335" cy="4594860"/>
            <wp:effectExtent l="0" t="0" r="0" b="0"/>
            <wp:docPr id="133246805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19671" cy="4600864"/>
                    </a:xfrm>
                    <a:prstGeom prst="rect">
                      <a:avLst/>
                    </a:prstGeom>
                    <a:noFill/>
                    <a:ln>
                      <a:noFill/>
                    </a:ln>
                  </pic:spPr>
                </pic:pic>
              </a:graphicData>
            </a:graphic>
          </wp:inline>
        </w:drawing>
      </w:r>
    </w:p>
    <w:p w14:paraId="38FF9DB4" w14:textId="77777777" w:rsidR="004A5F9B" w:rsidRPr="008F7D2E" w:rsidRDefault="004A5F9B" w:rsidP="004A5F9B">
      <w:pPr>
        <w:pStyle w:val="Caption"/>
        <w:spacing w:line="480" w:lineRule="auto"/>
        <w:jc w:val="both"/>
        <w:rPr>
          <w:rFonts w:ascii="Times New Roman" w:hAnsi="Times New Roman" w:cs="Times New Roman"/>
          <w:i w:val="0"/>
          <w:iCs w:val="0"/>
        </w:rPr>
        <w:sectPr w:rsidR="004A5F9B" w:rsidRPr="008F7D2E" w:rsidSect="004A5F9B">
          <w:pgSz w:w="15840" w:h="12240" w:orient="landscape"/>
          <w:pgMar w:top="1440" w:right="1440" w:bottom="1440" w:left="1440" w:header="720" w:footer="720" w:gutter="0"/>
          <w:cols w:space="720"/>
          <w:docGrid w:linePitch="360"/>
        </w:sectPr>
      </w:pPr>
      <w:bookmarkStart w:id="11" w:name="_Ref193207981"/>
    </w:p>
    <w:p w14:paraId="4151CD8B" w14:textId="77777777" w:rsidR="004A5F9B" w:rsidRPr="008F7D2E" w:rsidRDefault="004A5F9B" w:rsidP="004A5F9B">
      <w:pPr>
        <w:pStyle w:val="Caption"/>
        <w:spacing w:line="480" w:lineRule="auto"/>
        <w:jc w:val="both"/>
        <w:rPr>
          <w:rFonts w:ascii="Times New Roman" w:hAnsi="Times New Roman" w:cs="Times New Roman"/>
          <w:i w:val="0"/>
          <w:iCs w:val="0"/>
        </w:rPr>
      </w:pPr>
      <w:r w:rsidRPr="008F7D2E">
        <w:rPr>
          <w:rFonts w:ascii="Times New Roman" w:hAnsi="Times New Roman" w:cs="Times New Roman"/>
          <w:i w:val="0"/>
          <w:iCs w:val="0"/>
        </w:rPr>
        <w:lastRenderedPageBreak/>
        <w:t xml:space="preserve">Extended Data Fig. </w:t>
      </w:r>
      <w:bookmarkEnd w:id="7"/>
      <w:bookmarkEnd w:id="11"/>
      <w:r w:rsidRPr="008F7D2E">
        <w:rPr>
          <w:rFonts w:ascii="Times New Roman" w:hAnsi="Times New Roman" w:cs="Times New Roman"/>
          <w:i w:val="0"/>
          <w:iCs w:val="0"/>
        </w:rPr>
        <w:t>6 │</w:t>
      </w:r>
      <w:proofErr w:type="spellStart"/>
      <w:r w:rsidRPr="008F7D2E">
        <w:rPr>
          <w:rFonts w:ascii="Times New Roman" w:hAnsi="Times New Roman" w:cs="Times New Roman"/>
          <w:i w:val="0"/>
          <w:iCs w:val="0"/>
        </w:rPr>
        <w:t>Uzatresgene</w:t>
      </w:r>
      <w:proofErr w:type="spellEnd"/>
      <w:r w:rsidRPr="008F7D2E">
        <w:rPr>
          <w:rFonts w:ascii="Times New Roman" w:hAnsi="Times New Roman" w:cs="Times New Roman"/>
          <w:i w:val="0"/>
          <w:iCs w:val="0"/>
        </w:rPr>
        <w:t xml:space="preserve"> </w:t>
      </w:r>
      <w:proofErr w:type="spellStart"/>
      <w:r w:rsidRPr="008F7D2E">
        <w:rPr>
          <w:rFonts w:ascii="Times New Roman" w:hAnsi="Times New Roman" w:cs="Times New Roman"/>
          <w:i w:val="0"/>
          <w:iCs w:val="0"/>
        </w:rPr>
        <w:t>autoleucel</w:t>
      </w:r>
      <w:proofErr w:type="spellEnd"/>
      <w:r w:rsidRPr="008F7D2E">
        <w:rPr>
          <w:rFonts w:ascii="Times New Roman" w:hAnsi="Times New Roman" w:cs="Times New Roman"/>
          <w:i w:val="0"/>
          <w:iCs w:val="0"/>
        </w:rPr>
        <w:t xml:space="preserve"> initiates a broad intra-tumoral adaptive and innate immune response</w:t>
      </w:r>
      <w:bookmarkEnd w:id="8"/>
      <w:r w:rsidRPr="008F7D2E">
        <w:rPr>
          <w:rFonts w:ascii="Times New Roman" w:hAnsi="Times New Roman" w:cs="Times New Roman"/>
          <w:i w:val="0"/>
          <w:iCs w:val="0"/>
        </w:rPr>
        <w:t>.</w:t>
      </w:r>
    </w:p>
    <w:p w14:paraId="7A472E73" w14:textId="77777777" w:rsidR="004A5F9B" w:rsidRPr="008F7D2E" w:rsidRDefault="004A5F9B" w:rsidP="004A5F9B">
      <w:pPr>
        <w:spacing w:after="0" w:line="480" w:lineRule="auto"/>
        <w:jc w:val="both"/>
        <w:rPr>
          <w:rFonts w:ascii="Times New Roman" w:hAnsi="Times New Roman" w:cs="Times New Roman"/>
        </w:rPr>
      </w:pPr>
      <w:r w:rsidRPr="008F7D2E">
        <w:rPr>
          <w:rFonts w:ascii="Times New Roman" w:hAnsi="Times New Roman" w:cs="Times New Roman"/>
          <w:b/>
          <w:bCs/>
        </w:rPr>
        <w:t>a,</w:t>
      </w:r>
      <w:r w:rsidRPr="008F7D2E">
        <w:rPr>
          <w:rFonts w:ascii="Times New Roman" w:hAnsi="Times New Roman" w:cs="Times New Roman"/>
        </w:rPr>
        <w:t xml:space="preserve"> Ratio of M2 </w:t>
      </w:r>
      <w:proofErr w:type="spellStart"/>
      <w:r w:rsidRPr="008F7D2E">
        <w:rPr>
          <w:rFonts w:ascii="Times New Roman" w:hAnsi="Times New Roman" w:cs="Times New Roman"/>
        </w:rPr>
        <w:t>macrophages:cytotoxic</w:t>
      </w:r>
      <w:proofErr w:type="spellEnd"/>
      <w:r w:rsidRPr="008F7D2E">
        <w:rPr>
          <w:rFonts w:ascii="Times New Roman" w:hAnsi="Times New Roman" w:cs="Times New Roman"/>
        </w:rPr>
        <w:t xml:space="preserve"> T lymphocytes in the tested patient biopsies as of their best overall response as of the data cutoff 29 July 2024. </w:t>
      </w:r>
      <w:r w:rsidRPr="008F7D2E">
        <w:rPr>
          <w:rFonts w:ascii="Times New Roman" w:hAnsi="Times New Roman" w:cs="Times New Roman"/>
          <w:b/>
          <w:bCs/>
        </w:rPr>
        <w:t xml:space="preserve">b, </w:t>
      </w:r>
      <w:r w:rsidRPr="008F7D2E">
        <w:rPr>
          <w:rFonts w:ascii="Times New Roman" w:hAnsi="Times New Roman" w:cs="Times New Roman"/>
        </w:rPr>
        <w:t xml:space="preserve">Representative multiplex immunofluorescence images of post-infusion biopsies from an ovarian (upper) and urothelial (lower) tumor stained for CD3 (yellow), CD4 (orange), CD8 (green), granzyme B (white), </w:t>
      </w:r>
      <w:proofErr w:type="spellStart"/>
      <w:r w:rsidRPr="008F7D2E">
        <w:rPr>
          <w:rFonts w:ascii="Times New Roman" w:hAnsi="Times New Roman" w:cs="Times New Roman"/>
        </w:rPr>
        <w:t>panCK</w:t>
      </w:r>
      <w:proofErr w:type="spellEnd"/>
      <w:r w:rsidRPr="008F7D2E">
        <w:rPr>
          <w:rFonts w:ascii="Times New Roman" w:hAnsi="Times New Roman" w:cs="Times New Roman"/>
        </w:rPr>
        <w:t>/Sox10 (pale blue), M1 macrophage (red), M2 macrophage (green), with nuclei dark blue. Note the limitation that this analysis is based on N=14. CR, complete response; CTL, cytotoxic T lymphocyte; PD, progressive disease; PR, partial response; SD, stable disease.</w:t>
      </w:r>
    </w:p>
    <w:p w14:paraId="17CDF3A1"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noProof/>
        </w:rPr>
        <w:lastRenderedPageBreak/>
        <w:drawing>
          <wp:inline distT="0" distB="0" distL="0" distR="0" wp14:anchorId="0C0B1267" wp14:editId="1FCDB97C">
            <wp:extent cx="4373880" cy="8218146"/>
            <wp:effectExtent l="0" t="0" r="7620" b="0"/>
            <wp:docPr id="13784155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7935" cy="8225765"/>
                    </a:xfrm>
                    <a:prstGeom prst="rect">
                      <a:avLst/>
                    </a:prstGeom>
                    <a:noFill/>
                    <a:ln>
                      <a:noFill/>
                    </a:ln>
                  </pic:spPr>
                </pic:pic>
              </a:graphicData>
            </a:graphic>
          </wp:inline>
        </w:drawing>
      </w:r>
      <w:r w:rsidRPr="008F7D2E">
        <w:rPr>
          <w:rFonts w:ascii="Times New Roman" w:hAnsi="Times New Roman" w:cs="Times New Roman"/>
        </w:rPr>
        <w:br w:type="page"/>
      </w:r>
    </w:p>
    <w:p w14:paraId="53083916" w14:textId="77777777" w:rsidR="004A5F9B" w:rsidRPr="008F7D2E" w:rsidRDefault="004A5F9B" w:rsidP="004A5F9B">
      <w:pPr>
        <w:pStyle w:val="Caption"/>
        <w:spacing w:line="480" w:lineRule="auto"/>
        <w:jc w:val="both"/>
        <w:rPr>
          <w:rFonts w:ascii="Times New Roman" w:hAnsi="Times New Roman" w:cs="Times New Roman"/>
          <w:i w:val="0"/>
          <w:iCs w:val="0"/>
        </w:rPr>
      </w:pPr>
      <w:bookmarkStart w:id="12" w:name="_Ref184393914"/>
      <w:r w:rsidRPr="008F7D2E">
        <w:rPr>
          <w:rFonts w:ascii="Times New Roman" w:hAnsi="Times New Roman" w:cs="Times New Roman"/>
          <w:i w:val="0"/>
          <w:iCs w:val="0"/>
        </w:rPr>
        <w:lastRenderedPageBreak/>
        <w:t xml:space="preserve">Extended Data Fig. </w:t>
      </w:r>
      <w:bookmarkEnd w:id="12"/>
      <w:r w:rsidRPr="008F7D2E">
        <w:rPr>
          <w:rFonts w:ascii="Times New Roman" w:hAnsi="Times New Roman" w:cs="Times New Roman"/>
          <w:i w:val="0"/>
          <w:iCs w:val="0"/>
        </w:rPr>
        <w:t>7 │</w:t>
      </w:r>
      <w:proofErr w:type="spellStart"/>
      <w:r w:rsidRPr="008F7D2E">
        <w:rPr>
          <w:rFonts w:ascii="Times New Roman" w:hAnsi="Times New Roman" w:cs="Times New Roman"/>
          <w:i w:val="0"/>
          <w:iCs w:val="0"/>
        </w:rPr>
        <w:t>Uzatresgene</w:t>
      </w:r>
      <w:proofErr w:type="spellEnd"/>
      <w:r w:rsidRPr="008F7D2E">
        <w:rPr>
          <w:rFonts w:ascii="Times New Roman" w:hAnsi="Times New Roman" w:cs="Times New Roman"/>
          <w:i w:val="0"/>
          <w:iCs w:val="0"/>
        </w:rPr>
        <w:t xml:space="preserve"> </w:t>
      </w:r>
      <w:proofErr w:type="spellStart"/>
      <w:r w:rsidRPr="008F7D2E">
        <w:rPr>
          <w:rFonts w:ascii="Times New Roman" w:hAnsi="Times New Roman" w:cs="Times New Roman"/>
          <w:i w:val="0"/>
          <w:iCs w:val="0"/>
        </w:rPr>
        <w:t>autoleucel</w:t>
      </w:r>
      <w:proofErr w:type="spellEnd"/>
      <w:r w:rsidRPr="008F7D2E">
        <w:rPr>
          <w:rFonts w:ascii="Times New Roman" w:hAnsi="Times New Roman" w:cs="Times New Roman"/>
          <w:i w:val="0"/>
          <w:iCs w:val="0"/>
        </w:rPr>
        <w:t xml:space="preserve"> reduces antigen positive tumor cells; the greatest reduction observed in patients with a response.</w:t>
      </w:r>
    </w:p>
    <w:p w14:paraId="7D82D369" w14:textId="77777777" w:rsidR="004A5F9B" w:rsidRPr="008F7D2E" w:rsidRDefault="004A5F9B" w:rsidP="004A5F9B">
      <w:pPr>
        <w:spacing w:line="480" w:lineRule="auto"/>
        <w:jc w:val="both"/>
        <w:rPr>
          <w:rFonts w:ascii="Times New Roman" w:hAnsi="Times New Roman" w:cs="Times New Roman"/>
        </w:rPr>
      </w:pPr>
      <w:r w:rsidRPr="008F7D2E">
        <w:rPr>
          <w:rFonts w:ascii="Times New Roman" w:hAnsi="Times New Roman" w:cs="Times New Roman"/>
          <w:b/>
          <w:bCs/>
        </w:rPr>
        <w:t>a,</w:t>
      </w:r>
      <w:r w:rsidRPr="008F7D2E">
        <w:rPr>
          <w:rFonts w:ascii="Times New Roman" w:hAnsi="Times New Roman" w:cs="Times New Roman"/>
        </w:rPr>
        <w:t xml:space="preserve"> Quantification of MAGE-A4 expression in available tumor biopsies following </w:t>
      </w:r>
      <w:proofErr w:type="spellStart"/>
      <w:r w:rsidRPr="008F7D2E">
        <w:rPr>
          <w:rFonts w:ascii="Times New Roman" w:hAnsi="Times New Roman" w:cs="Times New Roman"/>
        </w:rPr>
        <w:t>uza</w:t>
      </w:r>
      <w:proofErr w:type="spellEnd"/>
      <w:r w:rsidRPr="008F7D2E">
        <w:rPr>
          <w:rFonts w:ascii="Times New Roman" w:hAnsi="Times New Roman" w:cs="Times New Roman"/>
        </w:rPr>
        <w:t xml:space="preserve">-cel infusion measured by immunohistochemistry. </w:t>
      </w:r>
      <w:r w:rsidRPr="008F7D2E">
        <w:rPr>
          <w:rFonts w:ascii="Times New Roman" w:hAnsi="Times New Roman" w:cs="Times New Roman"/>
          <w:lang w:val="en-GB"/>
        </w:rPr>
        <w:t>MAGE-A4 expression was significantly different across all groups (</w:t>
      </w:r>
      <w:r w:rsidRPr="008F7D2E">
        <w:rPr>
          <w:rFonts w:ascii="Times New Roman" w:hAnsi="Times New Roman" w:cs="Times New Roman"/>
          <w:i/>
          <w:iCs/>
          <w:lang w:val="en-GB"/>
        </w:rPr>
        <w:t>P</w:t>
      </w:r>
      <w:r w:rsidRPr="008F7D2E">
        <w:rPr>
          <w:rFonts w:ascii="Times New Roman" w:hAnsi="Times New Roman" w:cs="Times New Roman"/>
          <w:lang w:val="en-GB"/>
        </w:rPr>
        <w:t xml:space="preserve"> = 0.018 by Kruskal Wallis) and was significantly reduced in the group with PR compared with SD (</w:t>
      </w:r>
      <w:r w:rsidRPr="008F7D2E">
        <w:rPr>
          <w:rFonts w:ascii="Times New Roman" w:hAnsi="Times New Roman" w:cs="Times New Roman"/>
          <w:i/>
          <w:iCs/>
          <w:lang w:val="en-GB"/>
        </w:rPr>
        <w:t>P</w:t>
      </w:r>
      <w:r w:rsidRPr="008F7D2E">
        <w:rPr>
          <w:rFonts w:ascii="Times New Roman" w:hAnsi="Times New Roman" w:cs="Times New Roman"/>
          <w:lang w:val="en-GB"/>
        </w:rPr>
        <w:t xml:space="preserve"> = 0.047) or with PD (</w:t>
      </w:r>
      <w:r w:rsidRPr="008F7D2E">
        <w:rPr>
          <w:rFonts w:ascii="Times New Roman" w:hAnsi="Times New Roman" w:cs="Times New Roman"/>
          <w:i/>
          <w:iCs/>
          <w:lang w:val="en-GB"/>
        </w:rPr>
        <w:t>P</w:t>
      </w:r>
      <w:r w:rsidRPr="008F7D2E">
        <w:rPr>
          <w:rFonts w:ascii="Times New Roman" w:hAnsi="Times New Roman" w:cs="Times New Roman"/>
          <w:lang w:val="en-GB"/>
        </w:rPr>
        <w:t xml:space="preserve"> = 0.029), both by Mann Whitney U test.</w:t>
      </w:r>
      <w:r w:rsidRPr="008F7D2E">
        <w:rPr>
          <w:rFonts w:ascii="Times New Roman" w:hAnsi="Times New Roman" w:cs="Times New Roman"/>
        </w:rPr>
        <w:t xml:space="preserve"> </w:t>
      </w:r>
      <w:r w:rsidRPr="008F7D2E">
        <w:rPr>
          <w:rFonts w:ascii="Times New Roman" w:hAnsi="Times New Roman" w:cs="Times New Roman"/>
          <w:b/>
          <w:bCs/>
        </w:rPr>
        <w:t>b,</w:t>
      </w:r>
      <w:r w:rsidRPr="008F7D2E">
        <w:rPr>
          <w:rFonts w:ascii="Times New Roman" w:hAnsi="Times New Roman" w:cs="Times New Roman"/>
        </w:rPr>
        <w:t xml:space="preserve"> Representative immunohistochemistry showing MAGE-A4 (brown) tumoral expression changes. The green arrow indicates the patient whose representative images are shown on the left hand side of panel b, and the red arrow indicates the patient whose representative images are shown on the right of panel b. Note the limitation that this analysis is based on N=15. H score of immunohistochemical staining strength calculated as: 1 x (% of 1+ cells) + 2 x (% of 2+ cells) + 3 x (% of 3+ cells); MAGE-A4, </w:t>
      </w:r>
      <w:r w:rsidRPr="008F7D2E">
        <w:rPr>
          <w:rStyle w:val="Heading2Char"/>
          <w:rFonts w:ascii="Times New Roman" w:eastAsiaTheme="minorEastAsia" w:hAnsi="Times New Roman" w:cs="Times New Roman"/>
          <w:bCs/>
          <w:szCs w:val="24"/>
        </w:rPr>
        <w:t xml:space="preserve">melanoma-associated antigen A4; NSCLC, </w:t>
      </w:r>
      <w:r w:rsidRPr="008F7D2E">
        <w:rPr>
          <w:rFonts w:ascii="Times New Roman" w:hAnsi="Times New Roman" w:cs="Times New Roman"/>
        </w:rPr>
        <w:t>non-small cell lung cancer</w:t>
      </w:r>
      <w:r w:rsidRPr="008F7D2E">
        <w:rPr>
          <w:rStyle w:val="Heading2Char"/>
          <w:rFonts w:ascii="Times New Roman" w:eastAsiaTheme="minorEastAsia" w:hAnsi="Times New Roman" w:cs="Times New Roman"/>
          <w:bCs/>
          <w:szCs w:val="24"/>
        </w:rPr>
        <w:t xml:space="preserve">; </w:t>
      </w:r>
      <w:r w:rsidRPr="008F7D2E">
        <w:rPr>
          <w:rFonts w:ascii="Times New Roman" w:hAnsi="Times New Roman" w:cs="Times New Roman"/>
        </w:rPr>
        <w:t>PD, progressive disease; PR, partial response; SD, stable disease.</w:t>
      </w:r>
    </w:p>
    <w:p w14:paraId="126F557D" w14:textId="0B182624" w:rsidR="008B07A6" w:rsidRPr="004A5F9B" w:rsidRDefault="004A5F9B" w:rsidP="004A5F9B">
      <w:pPr>
        <w:spacing w:line="480" w:lineRule="auto"/>
        <w:jc w:val="both"/>
        <w:rPr>
          <w:rFonts w:ascii="Times New Roman" w:hAnsi="Times New Roman" w:cs="Times New Roman"/>
        </w:rPr>
      </w:pPr>
      <w:r w:rsidRPr="008F7D2E">
        <w:rPr>
          <w:rFonts w:ascii="Times New Roman" w:hAnsi="Times New Roman" w:cs="Times New Roman"/>
          <w:noProof/>
        </w:rPr>
        <w:lastRenderedPageBreak/>
        <w:drawing>
          <wp:inline distT="0" distB="0" distL="0" distR="0" wp14:anchorId="32518923" wp14:editId="7D06DB4D">
            <wp:extent cx="4632960" cy="8279017"/>
            <wp:effectExtent l="0" t="0" r="0" b="8255"/>
            <wp:docPr id="5167289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36523" cy="8285384"/>
                    </a:xfrm>
                    <a:prstGeom prst="rect">
                      <a:avLst/>
                    </a:prstGeom>
                    <a:noFill/>
                    <a:ln>
                      <a:noFill/>
                    </a:ln>
                  </pic:spPr>
                </pic:pic>
              </a:graphicData>
            </a:graphic>
          </wp:inline>
        </w:drawing>
      </w:r>
    </w:p>
    <w:sectPr w:rsidR="008B07A6" w:rsidRPr="004A5F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F9B"/>
    <w:rsid w:val="00066677"/>
    <w:rsid w:val="003A4E89"/>
    <w:rsid w:val="004A5F9B"/>
    <w:rsid w:val="00556784"/>
    <w:rsid w:val="006A37FA"/>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9403B"/>
  <w15:chartTrackingRefBased/>
  <w15:docId w15:val="{599262BF-B7B2-44D1-839A-3A607522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F9B"/>
    <w:pPr>
      <w:spacing w:line="360"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4A5F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4A5F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A5F9B"/>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A5F9B"/>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A5F9B"/>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A5F9B"/>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A5F9B"/>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A5F9B"/>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A5F9B"/>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F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A5F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F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F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F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F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F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F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F9B"/>
    <w:rPr>
      <w:rFonts w:eastAsiaTheme="majorEastAsia" w:cstheme="majorBidi"/>
      <w:color w:val="272727" w:themeColor="text1" w:themeTint="D8"/>
    </w:rPr>
  </w:style>
  <w:style w:type="paragraph" w:styleId="Title">
    <w:name w:val="Title"/>
    <w:basedOn w:val="Normal"/>
    <w:next w:val="Normal"/>
    <w:link w:val="TitleChar"/>
    <w:uiPriority w:val="10"/>
    <w:qFormat/>
    <w:rsid w:val="004A5F9B"/>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A5F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F9B"/>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A5F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F9B"/>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A5F9B"/>
    <w:rPr>
      <w:i/>
      <w:iCs/>
      <w:color w:val="404040" w:themeColor="text1" w:themeTint="BF"/>
    </w:rPr>
  </w:style>
  <w:style w:type="paragraph" w:styleId="ListParagraph">
    <w:name w:val="List Paragraph"/>
    <w:basedOn w:val="Normal"/>
    <w:uiPriority w:val="34"/>
    <w:qFormat/>
    <w:rsid w:val="004A5F9B"/>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4A5F9B"/>
    <w:rPr>
      <w:i/>
      <w:iCs/>
      <w:color w:val="0F4761" w:themeColor="accent1" w:themeShade="BF"/>
    </w:rPr>
  </w:style>
  <w:style w:type="paragraph" w:styleId="IntenseQuote">
    <w:name w:val="Intense Quote"/>
    <w:basedOn w:val="Normal"/>
    <w:next w:val="Normal"/>
    <w:link w:val="IntenseQuoteChar"/>
    <w:uiPriority w:val="30"/>
    <w:qFormat/>
    <w:rsid w:val="004A5F9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A5F9B"/>
    <w:rPr>
      <w:i/>
      <w:iCs/>
      <w:color w:val="0F4761" w:themeColor="accent1" w:themeShade="BF"/>
    </w:rPr>
  </w:style>
  <w:style w:type="character" w:styleId="IntenseReference">
    <w:name w:val="Intense Reference"/>
    <w:basedOn w:val="DefaultParagraphFont"/>
    <w:uiPriority w:val="32"/>
    <w:qFormat/>
    <w:rsid w:val="004A5F9B"/>
    <w:rPr>
      <w:b/>
      <w:bCs/>
      <w:smallCaps/>
      <w:color w:val="0F4761" w:themeColor="accent1" w:themeShade="BF"/>
      <w:spacing w:val="5"/>
    </w:rPr>
  </w:style>
  <w:style w:type="paragraph" w:styleId="Caption">
    <w:name w:val="caption"/>
    <w:basedOn w:val="Heading3"/>
    <w:next w:val="Normal"/>
    <w:uiPriority w:val="35"/>
    <w:unhideWhenUsed/>
    <w:qFormat/>
    <w:rsid w:val="004A5F9B"/>
    <w:pPr>
      <w:spacing w:after="200" w:line="240" w:lineRule="auto"/>
    </w:pPr>
    <w:rPr>
      <w:b/>
      <w:i/>
      <w:iCs/>
      <w:color w:val="auto"/>
      <w:kern w:val="0"/>
      <w:sz w:val="22"/>
      <w:szCs w:val="18"/>
      <w:lang w:eastAsia="ja-JP"/>
      <w14:ligatures w14:val="none"/>
    </w:rPr>
  </w:style>
  <w:style w:type="table" w:styleId="TableGrid">
    <w:name w:val="Table Grid"/>
    <w:basedOn w:val="TableNormal"/>
    <w:uiPriority w:val="39"/>
    <w:rsid w:val="004A5F9B"/>
    <w:pPr>
      <w:spacing w:after="0" w:line="240" w:lineRule="auto"/>
    </w:pPr>
    <w:rPr>
      <w:rFonts w:eastAsiaTheme="minorEastAsia"/>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4A5F9B"/>
    <w:pPr>
      <w:spacing w:after="0" w:line="240" w:lineRule="auto"/>
    </w:pPr>
    <w:rPr>
      <w:rFonts w:eastAsiaTheme="minorEastAsia"/>
      <w:kern w:val="0"/>
      <w:lang w:eastAsia="ja-JP"/>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4A5F9B"/>
    <w:pPr>
      <w:spacing w:before="100" w:beforeAutospacing="1" w:after="100" w:afterAutospacing="1"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1208</Words>
  <Characters>6436</Characters>
  <Application>Microsoft Office Word</Application>
  <DocSecurity>0</DocSecurity>
  <Lines>411</Lines>
  <Paragraphs>253</Paragraphs>
  <ScaleCrop>false</ScaleCrop>
  <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2026-04-03T07:03:00Z</dcterms:created>
  <dcterms:modified xsi:type="dcterms:W3CDTF">2026-04-03T07:04:00Z</dcterms:modified>
</cp:coreProperties>
</file>