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E1E5B" w14:textId="77777777" w:rsidR="00C46619" w:rsidRDefault="00C46619" w:rsidP="00C46619">
      <w:pPr>
        <w:pStyle w:val="Heading1"/>
      </w:pPr>
      <w:r>
        <w:t>Supplement</w:t>
      </w:r>
    </w:p>
    <w:p w14:paraId="708F7195" w14:textId="77777777" w:rsidR="00C46619" w:rsidRDefault="00C46619" w:rsidP="00C46619">
      <w:pPr>
        <w:spacing w:after="120"/>
        <w:jc w:val="center"/>
      </w:pPr>
      <w:r>
        <w:rPr>
          <w:b/>
          <w:bCs/>
          <w:color w:val="1F3864"/>
          <w:sz w:val="28"/>
          <w:szCs w:val="28"/>
        </w:rPr>
        <w:t>Supplementary Material</w:t>
      </w:r>
    </w:p>
    <w:p w14:paraId="4A0549E1" w14:textId="77777777" w:rsidR="00C46619" w:rsidRDefault="00C46619" w:rsidP="00C46619">
      <w:pPr>
        <w:pStyle w:val="Heading2"/>
      </w:pPr>
      <w:r>
        <w:t>S1. Fine-tuning comparator (exploratory, B vs C)</w:t>
      </w:r>
    </w:p>
    <w:p w14:paraId="47F0142E" w14:textId="77777777" w:rsidR="00C46619" w:rsidRDefault="00C46619" w:rsidP="00C46619">
      <w:pPr>
        <w:spacing w:before="80" w:after="80" w:line="276" w:lineRule="auto"/>
        <w:jc w:val="both"/>
      </w:pPr>
      <w:r>
        <w:rPr>
          <w:color w:val="000000"/>
        </w:rPr>
        <w:t>The fine-tuning comparator is relegated to supplementary status because its effectiveness estimate (ΔMRR = 0.35) is a constructed assumption based on partial recovery toward the best-performing general-purpose model (BGE-base, MRR = 0.879) from the degraded baseline (BioBERT, MRR ≈ 0.398). It has not been measured in a head-to-head study. All B vs C results should be viewed as illustrative of a modeling framework for future empirical work, not as comparative effectiveness evidence.</w:t>
      </w:r>
    </w:p>
    <w:p w14:paraId="60430193" w14:textId="77777777" w:rsidR="00C46619" w:rsidRDefault="00C46619" w:rsidP="00C46619">
      <w:pPr>
        <w:spacing w:before="60"/>
      </w:pPr>
    </w:p>
    <w:p w14:paraId="05A04E94" w14:textId="77777777" w:rsidR="00C46619" w:rsidRDefault="00C46619" w:rsidP="00C46619">
      <w:pPr>
        <w:spacing w:before="60" w:after="60"/>
      </w:pPr>
      <w:r>
        <w:rPr>
          <w:b/>
          <w:bCs/>
          <w:sz w:val="20"/>
          <w:szCs w:val="20"/>
        </w:rPr>
        <w:t>Table S1. Illustrative absolute results by deployment scale and perspective (B vs A, whitening vs no correction).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81"/>
        <w:gridCol w:w="1363"/>
        <w:gridCol w:w="1581"/>
        <w:gridCol w:w="1098"/>
        <w:gridCol w:w="1541"/>
        <w:gridCol w:w="1362"/>
      </w:tblGrid>
      <w:tr w:rsidR="00C46619" w14:paraId="42448319" w14:textId="77777777" w:rsidTr="00236EA1">
        <w:trPr>
          <w:tblHeader/>
        </w:trPr>
        <w:tc>
          <w:tcPr>
            <w:tcW w:w="2626"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71F34600" w14:textId="77777777" w:rsidR="00C46619" w:rsidRDefault="00C46619" w:rsidP="00236EA1">
            <w:r>
              <w:rPr>
                <w:b/>
                <w:bCs/>
                <w:color w:val="FFFFFF"/>
                <w:sz w:val="20"/>
                <w:szCs w:val="20"/>
              </w:rPr>
              <w:t>Scenario</w:t>
            </w:r>
          </w:p>
        </w:tc>
        <w:tc>
          <w:tcPr>
            <w:tcW w:w="10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1CD15DB8" w14:textId="77777777" w:rsidR="00C46619" w:rsidRDefault="00C46619" w:rsidP="00236EA1">
            <w:pPr>
              <w:jc w:val="center"/>
            </w:pPr>
            <w:r>
              <w:rPr>
                <w:b/>
                <w:bCs/>
                <w:color w:val="FFFFFF"/>
                <w:sz w:val="20"/>
                <w:szCs w:val="20"/>
              </w:rPr>
              <w:t>Perspective</w:t>
            </w:r>
          </w:p>
        </w:tc>
        <w:tc>
          <w:tcPr>
            <w:tcW w:w="14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27052F17" w14:textId="77777777" w:rsidR="00C46619" w:rsidRDefault="00C46619" w:rsidP="00236EA1">
            <w:pPr>
              <w:jc w:val="center"/>
            </w:pPr>
            <w:r>
              <w:rPr>
                <w:b/>
                <w:bCs/>
                <w:color w:val="FFFFFF"/>
                <w:sz w:val="20"/>
                <w:szCs w:val="20"/>
              </w:rPr>
              <w:t>ΔCost (€)</w:t>
            </w:r>
          </w:p>
        </w:tc>
        <w:tc>
          <w:tcPr>
            <w:tcW w:w="12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0CEC57A1" w14:textId="77777777" w:rsidR="00C46619" w:rsidRDefault="00C46619" w:rsidP="00236EA1">
            <w:pPr>
              <w:jc w:val="center"/>
            </w:pPr>
            <w:r>
              <w:rPr>
                <w:b/>
                <w:bCs/>
                <w:color w:val="FFFFFF"/>
                <w:sz w:val="20"/>
                <w:szCs w:val="20"/>
              </w:rPr>
              <w:t>ΔQALYs</w:t>
            </w:r>
          </w:p>
        </w:tc>
        <w:tc>
          <w:tcPr>
            <w:tcW w:w="12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61EA7FE5" w14:textId="77777777" w:rsidR="00C46619" w:rsidRDefault="00C46619" w:rsidP="00236EA1">
            <w:pPr>
              <w:jc w:val="center"/>
            </w:pPr>
            <w:r>
              <w:rPr>
                <w:b/>
                <w:bCs/>
                <w:color w:val="FFFFFF"/>
                <w:sz w:val="20"/>
                <w:szCs w:val="20"/>
              </w:rPr>
              <w:t>Classification</w:t>
            </w:r>
          </w:p>
        </w:tc>
        <w:tc>
          <w:tcPr>
            <w:tcW w:w="16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7C396E2C" w14:textId="77777777" w:rsidR="00C46619" w:rsidRDefault="00C46619" w:rsidP="00236EA1">
            <w:pPr>
              <w:jc w:val="center"/>
            </w:pPr>
            <w:r>
              <w:rPr>
                <w:b/>
                <w:bCs/>
                <w:color w:val="FFFFFF"/>
                <w:sz w:val="20"/>
                <w:szCs w:val="20"/>
              </w:rPr>
              <w:t>Breakeven N</w:t>
            </w:r>
          </w:p>
        </w:tc>
      </w:tr>
      <w:tr w:rsidR="00C46619" w14:paraId="3FBF489D" w14:textId="77777777" w:rsidTr="00236EA1">
        <w:tc>
          <w:tcPr>
            <w:tcW w:w="0" w:type="auto"/>
            <w:gridSpan w:val="6"/>
            <w:tcBorders>
              <w:top w:val="single" w:sz="4" w:space="0" w:color="1F3864"/>
              <w:left w:val="single" w:sz="4" w:space="0" w:color="1F3864"/>
              <w:bottom w:val="single" w:sz="4" w:space="0" w:color="1F3864"/>
              <w:right w:val="single" w:sz="4" w:space="0" w:color="1F3864"/>
            </w:tcBorders>
            <w:shd w:val="clear" w:color="auto" w:fill="EEF2F7"/>
            <w:tcMar>
              <w:top w:w="60" w:type="dxa"/>
              <w:left w:w="120" w:type="dxa"/>
              <w:bottom w:w="60" w:type="dxa"/>
              <w:right w:w="120" w:type="dxa"/>
            </w:tcMar>
          </w:tcPr>
          <w:p w14:paraId="59662C53" w14:textId="77777777" w:rsidR="00C46619" w:rsidRDefault="00C46619" w:rsidP="00236EA1">
            <w:r>
              <w:rPr>
                <w:b/>
                <w:bCs/>
                <w:color w:val="1F3864"/>
                <w:sz w:val="20"/>
                <w:szCs w:val="20"/>
              </w:rPr>
              <w:t>Base case: α = 1.111 (DiReCT empirical, ClinicalBERT PDD)</w:t>
            </w:r>
          </w:p>
        </w:tc>
      </w:tr>
      <w:tr w:rsidR="00C46619" w14:paraId="0B5EF18E"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8518E6C" w14:textId="77777777" w:rsidR="00C46619" w:rsidRDefault="00C46619" w:rsidP="00236EA1">
            <w:r>
              <w:rPr>
                <w:color w:val="000000"/>
                <w:sz w:val="20"/>
                <w:szCs w:val="20"/>
              </w:rPr>
              <w:t>Small clinic (N = 18,000/yr)</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BD1817A" w14:textId="77777777" w:rsidR="00C46619" w:rsidRDefault="00C46619" w:rsidP="00236EA1">
            <w:pPr>
              <w:jc w:val="center"/>
            </w:pPr>
            <w:r>
              <w:rPr>
                <w:color w:val="000000"/>
                <w:sz w:val="20"/>
                <w:szCs w:val="20"/>
              </w:rPr>
              <w:t>System</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F6100A9" w14:textId="77777777" w:rsidR="00C46619" w:rsidRDefault="00C46619" w:rsidP="00236EA1">
            <w:pPr>
              <w:jc w:val="center"/>
            </w:pPr>
            <w:r>
              <w:rPr>
                <w:color w:val="000000"/>
                <w:sz w:val="20"/>
                <w:szCs w:val="20"/>
              </w:rPr>
              <w:t>€−4,552,684</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76316FC" w14:textId="77777777" w:rsidR="00C46619" w:rsidRDefault="00C46619" w:rsidP="00236EA1">
            <w:pPr>
              <w:jc w:val="center"/>
            </w:pPr>
            <w:r>
              <w:rPr>
                <w:color w:val="000000"/>
                <w:sz w:val="20"/>
                <w:szCs w:val="20"/>
              </w:rPr>
              <w:t>22.77</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F756EE1"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72B8374" w14:textId="77777777" w:rsidR="00C46619" w:rsidRDefault="00C46619" w:rsidP="00236EA1">
            <w:pPr>
              <w:jc w:val="center"/>
            </w:pPr>
            <w:r>
              <w:rPr>
                <w:color w:val="000000"/>
                <w:sz w:val="20"/>
                <w:szCs w:val="20"/>
              </w:rPr>
              <w:t>6</w:t>
            </w:r>
          </w:p>
        </w:tc>
      </w:tr>
      <w:tr w:rsidR="00C46619" w14:paraId="5D4E899F"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4658417" w14:textId="77777777" w:rsidR="00C46619" w:rsidRDefault="00C46619" w:rsidP="00236EA1">
            <w:r>
              <w:rPr>
                <w:color w:val="000000"/>
                <w:sz w:val="20"/>
                <w:szCs w:val="20"/>
              </w:rPr>
              <w:t>Medium hospital (N = 133,000/yr)</w:t>
            </w:r>
          </w:p>
        </w:tc>
        <w:tc>
          <w:tcPr>
            <w:tcW w:w="1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5894656" w14:textId="77777777" w:rsidR="00C46619" w:rsidRDefault="00C46619" w:rsidP="00236EA1">
            <w:pPr>
              <w:jc w:val="center"/>
            </w:pPr>
            <w:r>
              <w:rPr>
                <w:color w:val="000000"/>
                <w:sz w:val="20"/>
                <w:szCs w:val="20"/>
              </w:rPr>
              <w:t>System</w:t>
            </w:r>
          </w:p>
        </w:tc>
        <w:tc>
          <w:tcPr>
            <w:tcW w:w="1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E5C453C" w14:textId="77777777" w:rsidR="00C46619" w:rsidRDefault="00C46619" w:rsidP="00236EA1">
            <w:pPr>
              <w:jc w:val="center"/>
            </w:pPr>
            <w:r>
              <w:rPr>
                <w:color w:val="000000"/>
                <w:sz w:val="20"/>
                <w:szCs w:val="20"/>
              </w:rPr>
              <w:t>€−33,648,655</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4D8C92C" w14:textId="77777777" w:rsidR="00C46619" w:rsidRDefault="00C46619" w:rsidP="00236EA1">
            <w:pPr>
              <w:jc w:val="center"/>
            </w:pPr>
            <w:r>
              <w:rPr>
                <w:color w:val="000000"/>
                <w:sz w:val="20"/>
                <w:szCs w:val="20"/>
              </w:rPr>
              <w:t>168.25</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BAA3D35"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CFAD1C7" w14:textId="77777777" w:rsidR="00C46619" w:rsidRDefault="00C46619" w:rsidP="00236EA1">
            <w:pPr>
              <w:jc w:val="center"/>
            </w:pPr>
            <w:r>
              <w:rPr>
                <w:color w:val="000000"/>
                <w:sz w:val="20"/>
                <w:szCs w:val="20"/>
              </w:rPr>
              <w:t>6</w:t>
            </w:r>
          </w:p>
        </w:tc>
      </w:tr>
      <w:tr w:rsidR="00C46619" w14:paraId="13FA47FC"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90279CC" w14:textId="77777777" w:rsidR="00C46619" w:rsidRDefault="00C46619" w:rsidP="00236EA1">
            <w:r>
              <w:rPr>
                <w:color w:val="000000"/>
                <w:sz w:val="20"/>
                <w:szCs w:val="20"/>
              </w:rPr>
              <w:t>Large system (N = 1,000,000/yr)</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F074333" w14:textId="77777777" w:rsidR="00C46619" w:rsidRDefault="00C46619" w:rsidP="00236EA1">
            <w:pPr>
              <w:jc w:val="center"/>
            </w:pPr>
            <w:r>
              <w:rPr>
                <w:color w:val="000000"/>
                <w:sz w:val="20"/>
                <w:szCs w:val="20"/>
              </w:rPr>
              <w:t>System</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4A9EF4B" w14:textId="77777777" w:rsidR="00C46619" w:rsidRDefault="00C46619" w:rsidP="00236EA1">
            <w:pPr>
              <w:jc w:val="center"/>
            </w:pPr>
            <w:r>
              <w:rPr>
                <w:color w:val="000000"/>
                <w:sz w:val="20"/>
                <w:szCs w:val="20"/>
              </w:rPr>
              <w:t>€−253,006,975</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64DDC12" w14:textId="77777777" w:rsidR="00C46619" w:rsidRDefault="00C46619" w:rsidP="00236EA1">
            <w:pPr>
              <w:jc w:val="center"/>
            </w:pPr>
            <w:r>
              <w:rPr>
                <w:color w:val="000000"/>
                <w:sz w:val="20"/>
                <w:szCs w:val="20"/>
              </w:rPr>
              <w:t>1265.0</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40097DA"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5CE3CAB" w14:textId="77777777" w:rsidR="00C46619" w:rsidRDefault="00C46619" w:rsidP="00236EA1">
            <w:pPr>
              <w:jc w:val="center"/>
            </w:pPr>
            <w:r>
              <w:rPr>
                <w:color w:val="000000"/>
                <w:sz w:val="20"/>
                <w:szCs w:val="20"/>
              </w:rPr>
              <w:t>6</w:t>
            </w:r>
          </w:p>
        </w:tc>
      </w:tr>
      <w:tr w:rsidR="00C46619" w14:paraId="080261B7"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3A85C8D" w14:textId="77777777" w:rsidR="00C46619" w:rsidRDefault="00C46619" w:rsidP="00236EA1">
            <w:r>
              <w:rPr>
                <w:color w:val="000000"/>
                <w:sz w:val="20"/>
                <w:szCs w:val="20"/>
              </w:rPr>
              <w:t>3-year horizon</w:t>
            </w:r>
          </w:p>
        </w:tc>
        <w:tc>
          <w:tcPr>
            <w:tcW w:w="1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CF34411" w14:textId="77777777" w:rsidR="00C46619" w:rsidRDefault="00C46619" w:rsidP="00236EA1">
            <w:pPr>
              <w:jc w:val="center"/>
            </w:pPr>
            <w:r>
              <w:rPr>
                <w:color w:val="000000"/>
                <w:sz w:val="20"/>
                <w:szCs w:val="20"/>
              </w:rPr>
              <w:t>System</w:t>
            </w:r>
          </w:p>
        </w:tc>
        <w:tc>
          <w:tcPr>
            <w:tcW w:w="1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B873EE1" w14:textId="77777777" w:rsidR="00C46619" w:rsidRDefault="00C46619" w:rsidP="00236EA1">
            <w:pPr>
              <w:jc w:val="center"/>
            </w:pPr>
            <w:r>
              <w:rPr>
                <w:color w:val="000000"/>
                <w:sz w:val="20"/>
                <w:szCs w:val="20"/>
              </w:rPr>
              <w:t>€−20,948,469</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E841D93" w14:textId="77777777" w:rsidR="00C46619" w:rsidRDefault="00C46619" w:rsidP="00236EA1">
            <w:pPr>
              <w:jc w:val="center"/>
            </w:pPr>
            <w:r>
              <w:rPr>
                <w:color w:val="000000"/>
                <w:sz w:val="20"/>
                <w:szCs w:val="20"/>
              </w:rPr>
              <w:t>104.8</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D6F5017"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2606B55" w14:textId="77777777" w:rsidR="00C46619" w:rsidRDefault="00C46619" w:rsidP="00236EA1">
            <w:pPr>
              <w:jc w:val="center"/>
            </w:pPr>
            <w:r>
              <w:rPr>
                <w:color w:val="000000"/>
                <w:sz w:val="20"/>
                <w:szCs w:val="20"/>
              </w:rPr>
              <w:t>6</w:t>
            </w:r>
          </w:p>
        </w:tc>
      </w:tr>
      <w:tr w:rsidR="00C46619" w14:paraId="4F1E4308"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E6B680B" w14:textId="77777777" w:rsidR="00C46619" w:rsidRDefault="00C46619" w:rsidP="00236EA1">
            <w:r>
              <w:rPr>
                <w:color w:val="000000"/>
                <w:sz w:val="20"/>
                <w:szCs w:val="20"/>
              </w:rPr>
              <w:t>10-year horizon</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9836189" w14:textId="77777777" w:rsidR="00C46619" w:rsidRDefault="00C46619" w:rsidP="00236EA1">
            <w:pPr>
              <w:jc w:val="center"/>
            </w:pPr>
            <w:r>
              <w:rPr>
                <w:color w:val="000000"/>
                <w:sz w:val="20"/>
                <w:szCs w:val="20"/>
              </w:rPr>
              <w:t>System</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041A20F" w14:textId="77777777" w:rsidR="00C46619" w:rsidRDefault="00C46619" w:rsidP="00236EA1">
            <w:pPr>
              <w:jc w:val="center"/>
            </w:pPr>
            <w:r>
              <w:rPr>
                <w:color w:val="000000"/>
                <w:sz w:val="20"/>
                <w:szCs w:val="20"/>
              </w:rPr>
              <w:t>€−61,260,802</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0F2D266" w14:textId="77777777" w:rsidR="00C46619" w:rsidRDefault="00C46619" w:rsidP="00236EA1">
            <w:pPr>
              <w:jc w:val="center"/>
            </w:pPr>
            <w:r>
              <w:rPr>
                <w:color w:val="000000"/>
                <w:sz w:val="20"/>
                <w:szCs w:val="20"/>
              </w:rPr>
              <w:t>306.2</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E7E4854"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DA99DF9" w14:textId="77777777" w:rsidR="00C46619" w:rsidRDefault="00C46619" w:rsidP="00236EA1">
            <w:pPr>
              <w:jc w:val="center"/>
            </w:pPr>
            <w:r>
              <w:rPr>
                <w:color w:val="000000"/>
                <w:sz w:val="20"/>
                <w:szCs w:val="20"/>
              </w:rPr>
              <w:t>6</w:t>
            </w:r>
          </w:p>
        </w:tc>
      </w:tr>
      <w:tr w:rsidR="00C46619" w14:paraId="77E0CC95" w14:textId="77777777" w:rsidTr="00236EA1">
        <w:tc>
          <w:tcPr>
            <w:tcW w:w="0" w:type="auto"/>
            <w:gridSpan w:val="6"/>
            <w:tcBorders>
              <w:top w:val="single" w:sz="4" w:space="0" w:color="1F3864"/>
              <w:left w:val="single" w:sz="4" w:space="0" w:color="1F3864"/>
              <w:bottom w:val="single" w:sz="4" w:space="0" w:color="1F3864"/>
              <w:right w:val="single" w:sz="4" w:space="0" w:color="1F3864"/>
            </w:tcBorders>
            <w:shd w:val="clear" w:color="auto" w:fill="EEF2F7"/>
            <w:tcMar>
              <w:top w:w="60" w:type="dxa"/>
              <w:left w:w="120" w:type="dxa"/>
              <w:bottom w:w="60" w:type="dxa"/>
              <w:right w:w="120" w:type="dxa"/>
            </w:tcMar>
          </w:tcPr>
          <w:p w14:paraId="56FE611F" w14:textId="77777777" w:rsidR="00C46619" w:rsidRDefault="00C46619" w:rsidP="00236EA1">
            <w:r>
              <w:rPr>
                <w:b/>
                <w:bCs/>
                <w:color w:val="1F3864"/>
                <w:sz w:val="20"/>
                <w:szCs w:val="20"/>
              </w:rPr>
              <w:t>Conservative scenario: α = 0.36 (Tao et al. 2020, transported CDSS estimate)</w:t>
            </w:r>
          </w:p>
        </w:tc>
      </w:tr>
      <w:tr w:rsidR="00C46619" w14:paraId="594F2294"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61566AB" w14:textId="77777777" w:rsidR="00C46619" w:rsidRDefault="00C46619" w:rsidP="00236EA1">
            <w:r>
              <w:rPr>
                <w:color w:val="000000"/>
                <w:sz w:val="20"/>
                <w:szCs w:val="20"/>
              </w:rPr>
              <w:t>Medium hospital (N = 133,000/yr)</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E106F61" w14:textId="77777777" w:rsidR="00C46619" w:rsidRDefault="00C46619" w:rsidP="00236EA1">
            <w:pPr>
              <w:jc w:val="center"/>
            </w:pPr>
            <w:r>
              <w:rPr>
                <w:color w:val="000000"/>
                <w:sz w:val="20"/>
                <w:szCs w:val="20"/>
              </w:rPr>
              <w:t>System</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78DE475" w14:textId="77777777" w:rsidR="00C46619" w:rsidRDefault="00C46619" w:rsidP="00236EA1">
            <w:pPr>
              <w:jc w:val="center"/>
            </w:pPr>
            <w:r>
              <w:rPr>
                <w:color w:val="000000"/>
                <w:sz w:val="20"/>
                <w:szCs w:val="20"/>
              </w:rPr>
              <w:t>€−10,902,262</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9823F08" w14:textId="77777777" w:rsidR="00C46619" w:rsidRDefault="00C46619" w:rsidP="00236EA1">
            <w:pPr>
              <w:jc w:val="center"/>
            </w:pPr>
            <w:r>
              <w:rPr>
                <w:color w:val="000000"/>
                <w:sz w:val="20"/>
                <w:szCs w:val="20"/>
              </w:rPr>
              <w:t>54.52</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4B910A4"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AC02B70" w14:textId="77777777" w:rsidR="00C46619" w:rsidRDefault="00C46619" w:rsidP="00236EA1">
            <w:pPr>
              <w:jc w:val="center"/>
            </w:pPr>
            <w:r>
              <w:rPr>
                <w:color w:val="000000"/>
                <w:sz w:val="20"/>
                <w:szCs w:val="20"/>
              </w:rPr>
              <w:t>18</w:t>
            </w:r>
          </w:p>
        </w:tc>
      </w:tr>
      <w:tr w:rsidR="00C46619" w14:paraId="6CDF3D3C"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BEE7F20" w14:textId="77777777" w:rsidR="00C46619" w:rsidRDefault="00C46619" w:rsidP="00236EA1">
            <w:r>
              <w:rPr>
                <w:color w:val="000000"/>
                <w:sz w:val="20"/>
                <w:szCs w:val="20"/>
              </w:rPr>
              <w:t>Conservative α = 0.36 (was base case in v3)</w:t>
            </w:r>
          </w:p>
        </w:tc>
        <w:tc>
          <w:tcPr>
            <w:tcW w:w="1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78FD607" w14:textId="77777777" w:rsidR="00C46619" w:rsidRDefault="00C46619" w:rsidP="00236EA1">
            <w:pPr>
              <w:jc w:val="center"/>
            </w:pPr>
            <w:r>
              <w:rPr>
                <w:color w:val="000000"/>
                <w:sz w:val="20"/>
                <w:szCs w:val="20"/>
              </w:rPr>
              <w:t>System</w:t>
            </w:r>
          </w:p>
        </w:tc>
        <w:tc>
          <w:tcPr>
            <w:tcW w:w="1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4129780" w14:textId="77777777" w:rsidR="00C46619" w:rsidRDefault="00C46619" w:rsidP="00236EA1">
            <w:pPr>
              <w:jc w:val="center"/>
            </w:pPr>
            <w:r>
              <w:rPr>
                <w:color w:val="000000"/>
                <w:sz w:val="20"/>
                <w:szCs w:val="20"/>
              </w:rPr>
              <w:t>€−10,902,262</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84AAB84" w14:textId="77777777" w:rsidR="00C46619" w:rsidRDefault="00C46619" w:rsidP="00236EA1">
            <w:pPr>
              <w:jc w:val="center"/>
            </w:pPr>
            <w:r>
              <w:rPr>
                <w:color w:val="000000"/>
                <w:sz w:val="20"/>
                <w:szCs w:val="20"/>
              </w:rPr>
              <w:t>54.52</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3A2D2A0"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8771EA3" w14:textId="77777777" w:rsidR="00C46619" w:rsidRDefault="00C46619" w:rsidP="00236EA1">
            <w:pPr>
              <w:jc w:val="center"/>
            </w:pPr>
            <w:r>
              <w:rPr>
                <w:color w:val="000000"/>
                <w:sz w:val="20"/>
                <w:szCs w:val="20"/>
              </w:rPr>
              <w:t>18</w:t>
            </w:r>
          </w:p>
        </w:tc>
      </w:tr>
      <w:tr w:rsidR="00C46619" w14:paraId="042D9B67" w14:textId="77777777" w:rsidTr="00236EA1">
        <w:tc>
          <w:tcPr>
            <w:tcW w:w="0" w:type="auto"/>
            <w:gridSpan w:val="6"/>
            <w:tcBorders>
              <w:top w:val="single" w:sz="4" w:space="0" w:color="1F3864"/>
              <w:left w:val="single" w:sz="4" w:space="0" w:color="1F3864"/>
              <w:bottom w:val="single" w:sz="4" w:space="0" w:color="1F3864"/>
              <w:right w:val="single" w:sz="4" w:space="0" w:color="1F3864"/>
            </w:tcBorders>
            <w:shd w:val="clear" w:color="auto" w:fill="EEF2F7"/>
            <w:tcMar>
              <w:top w:w="60" w:type="dxa"/>
              <w:left w:w="120" w:type="dxa"/>
              <w:bottom w:w="60" w:type="dxa"/>
              <w:right w:w="120" w:type="dxa"/>
            </w:tcMar>
          </w:tcPr>
          <w:p w14:paraId="4B3D27D3" w14:textId="77777777" w:rsidR="00C46619" w:rsidRDefault="00C46619" w:rsidP="00236EA1">
            <w:r>
              <w:rPr>
                <w:b/>
                <w:bCs/>
                <w:color w:val="1F3864"/>
                <w:sz w:val="20"/>
                <w:szCs w:val="20"/>
              </w:rPr>
              <w:t>Societal perspective — NPE-derived (€66,564 per ADE; Norsk pasientskadeerstatning 2021–2025)</w:t>
            </w:r>
          </w:p>
        </w:tc>
      </w:tr>
      <w:tr w:rsidR="00C46619" w14:paraId="0985850D"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4AF7869" w14:textId="77777777" w:rsidR="00C46619" w:rsidRDefault="00C46619" w:rsidP="00236EA1">
            <w:r>
              <w:rPr>
                <w:color w:val="000000"/>
                <w:sz w:val="20"/>
                <w:szCs w:val="20"/>
              </w:rPr>
              <w:t>Medium hospital, base α = 1.111 (NPE avg)</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AAB449D" w14:textId="77777777" w:rsidR="00C46619" w:rsidRDefault="00C46619" w:rsidP="00236EA1">
            <w:pPr>
              <w:jc w:val="center"/>
            </w:pPr>
            <w:r>
              <w:rPr>
                <w:color w:val="000000"/>
                <w:sz w:val="20"/>
                <w:szCs w:val="20"/>
              </w:rPr>
              <w:t>Societal</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7740729" w14:textId="77777777" w:rsidR="00C46619" w:rsidRDefault="00C46619" w:rsidP="00236EA1">
            <w:pPr>
              <w:jc w:val="center"/>
            </w:pPr>
            <w:r>
              <w:rPr>
                <w:color w:val="000000"/>
                <w:sz w:val="20"/>
                <w:szCs w:val="20"/>
              </w:rPr>
              <w:t>€−186,352,419</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9439EB7" w14:textId="77777777" w:rsidR="00C46619" w:rsidRDefault="00C46619" w:rsidP="00236EA1">
            <w:pPr>
              <w:jc w:val="center"/>
            </w:pPr>
            <w:r>
              <w:rPr>
                <w:color w:val="000000"/>
                <w:sz w:val="20"/>
                <w:szCs w:val="20"/>
              </w:rPr>
              <w:t>168.25</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22C9EC2"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4D34EDF" w14:textId="77777777" w:rsidR="00C46619" w:rsidRDefault="00C46619" w:rsidP="00236EA1">
            <w:pPr>
              <w:jc w:val="center"/>
            </w:pPr>
            <w:r>
              <w:rPr>
                <w:color w:val="000000"/>
                <w:sz w:val="20"/>
                <w:szCs w:val="20"/>
              </w:rPr>
              <w:t>1</w:t>
            </w:r>
          </w:p>
        </w:tc>
      </w:tr>
      <w:tr w:rsidR="00C46619" w14:paraId="629562E0" w14:textId="77777777" w:rsidTr="00236EA1">
        <w:tc>
          <w:tcPr>
            <w:tcW w:w="26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24DF480" w14:textId="77777777" w:rsidR="00C46619" w:rsidRDefault="00C46619" w:rsidP="00236EA1">
            <w:r>
              <w:rPr>
                <w:color w:val="000000"/>
                <w:sz w:val="20"/>
                <w:szCs w:val="20"/>
              </w:rPr>
              <w:t>Medium hospital, conservative α = 0.36 (NPE avg)</w:t>
            </w:r>
          </w:p>
        </w:tc>
        <w:tc>
          <w:tcPr>
            <w:tcW w:w="1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3A9B5DA" w14:textId="77777777" w:rsidR="00C46619" w:rsidRDefault="00C46619" w:rsidP="00236EA1">
            <w:pPr>
              <w:jc w:val="center"/>
            </w:pPr>
            <w:r>
              <w:rPr>
                <w:color w:val="000000"/>
                <w:sz w:val="20"/>
                <w:szCs w:val="20"/>
              </w:rPr>
              <w:t>Societal</w:t>
            </w:r>
          </w:p>
        </w:tc>
        <w:tc>
          <w:tcPr>
            <w:tcW w:w="1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0B266DB" w14:textId="77777777" w:rsidR="00C46619" w:rsidRDefault="00C46619" w:rsidP="00236EA1">
            <w:pPr>
              <w:jc w:val="center"/>
            </w:pPr>
            <w:r>
              <w:rPr>
                <w:color w:val="000000"/>
                <w:sz w:val="20"/>
                <w:szCs w:val="20"/>
              </w:rPr>
              <w:t>€−60,481,524</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720A04C" w14:textId="77777777" w:rsidR="00C46619" w:rsidRDefault="00C46619" w:rsidP="00236EA1">
            <w:pPr>
              <w:jc w:val="center"/>
            </w:pPr>
            <w:r>
              <w:rPr>
                <w:color w:val="000000"/>
                <w:sz w:val="20"/>
                <w:szCs w:val="20"/>
              </w:rPr>
              <w:t>54.52</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9B25B0E" w14:textId="77777777" w:rsidR="00C46619" w:rsidRDefault="00C46619" w:rsidP="00236EA1">
            <w:pPr>
              <w:jc w:val="center"/>
            </w:pPr>
            <w:r>
              <w:rPr>
                <w:color w:val="000000"/>
                <w:sz w:val="20"/>
                <w:szCs w:val="20"/>
              </w:rPr>
              <w:t>Dominant</w:t>
            </w:r>
          </w:p>
        </w:tc>
        <w:tc>
          <w:tcPr>
            <w:tcW w:w="16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A5BE60D" w14:textId="77777777" w:rsidR="00C46619" w:rsidRDefault="00C46619" w:rsidP="00236EA1">
            <w:pPr>
              <w:jc w:val="center"/>
            </w:pPr>
            <w:r>
              <w:rPr>
                <w:color w:val="000000"/>
                <w:sz w:val="20"/>
                <w:szCs w:val="20"/>
              </w:rPr>
              <w:t>2</w:t>
            </w:r>
          </w:p>
        </w:tc>
      </w:tr>
    </w:tbl>
    <w:p w14:paraId="17FF29A2" w14:textId="77777777" w:rsidR="00C46619" w:rsidRDefault="00C46619" w:rsidP="00C46619">
      <w:pPr>
        <w:spacing w:before="80"/>
      </w:pPr>
    </w:p>
    <w:p w14:paraId="32ECE1CD" w14:textId="77777777" w:rsidR="00C46619" w:rsidRDefault="00C46619" w:rsidP="00C46619">
      <w:pPr>
        <w:pStyle w:val="Heading2"/>
      </w:pPr>
      <w:r>
        <w:lastRenderedPageBreak/>
        <w:t>S1b. Discount rate sensitivity (international reference rates)</w:t>
      </w:r>
    </w:p>
    <w:p w14:paraId="449F46EB" w14:textId="77777777" w:rsidR="00C46619" w:rsidRDefault="00C46619" w:rsidP="00C46619">
      <w:pPr>
        <w:spacing w:before="80" w:after="80" w:line="276" w:lineRule="auto"/>
        <w:jc w:val="both"/>
      </w:pPr>
      <w:r>
        <w:rPr>
          <w:color w:val="000000"/>
        </w:rPr>
        <w:t>The base case uses a 4% discount rate following the Norwegian reference case (NoMA). The table below shows results at 3.0% (NICE reference) and 3.5% (ISPOR international recommendation) for the medium hospital baseline scenario (α = 1.111, N = 133,000 per year, 5-year horizon, system perspective). All scenarios remain dominant; the economic case is insensitive to the discount rate due to the 5-year horizon and near-zero technology costs.</w:t>
      </w:r>
    </w:p>
    <w:p w14:paraId="2D709038" w14:textId="77777777" w:rsidR="00C46619" w:rsidRDefault="00C46619" w:rsidP="00C46619">
      <w:pPr>
        <w:spacing w:before="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71"/>
        <w:gridCol w:w="1149"/>
        <w:gridCol w:w="1470"/>
        <w:gridCol w:w="1127"/>
        <w:gridCol w:w="1541"/>
        <w:gridCol w:w="1568"/>
      </w:tblGrid>
      <w:tr w:rsidR="00C46619" w14:paraId="77E2501B" w14:textId="77777777" w:rsidTr="00236EA1">
        <w:trPr>
          <w:tblHeader/>
        </w:trPr>
        <w:tc>
          <w:tcPr>
            <w:tcW w:w="3226"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52598EEE" w14:textId="77777777" w:rsidR="00C46619" w:rsidRDefault="00C46619" w:rsidP="00236EA1">
            <w:r>
              <w:rPr>
                <w:b/>
                <w:bCs/>
                <w:color w:val="FFFFFF"/>
                <w:sz w:val="20"/>
                <w:szCs w:val="20"/>
              </w:rPr>
              <w:t>Scenario</w:t>
            </w:r>
          </w:p>
        </w:tc>
        <w:tc>
          <w:tcPr>
            <w:tcW w:w="12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50CD3174" w14:textId="77777777" w:rsidR="00C46619" w:rsidRDefault="00C46619" w:rsidP="00236EA1">
            <w:pPr>
              <w:jc w:val="center"/>
            </w:pPr>
            <w:r>
              <w:rPr>
                <w:b/>
                <w:bCs/>
                <w:color w:val="FFFFFF"/>
                <w:sz w:val="20"/>
                <w:szCs w:val="20"/>
              </w:rPr>
              <w:t>Discount rate</w:t>
            </w:r>
          </w:p>
        </w:tc>
        <w:tc>
          <w:tcPr>
            <w:tcW w:w="14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6AEF05AE" w14:textId="77777777" w:rsidR="00C46619" w:rsidRDefault="00C46619" w:rsidP="00236EA1">
            <w:pPr>
              <w:jc w:val="center"/>
            </w:pPr>
            <w:r>
              <w:rPr>
                <w:b/>
                <w:bCs/>
                <w:color w:val="FFFFFF"/>
                <w:sz w:val="20"/>
                <w:szCs w:val="20"/>
              </w:rPr>
              <w:t>ΔCost (€)</w:t>
            </w:r>
          </w:p>
        </w:tc>
        <w:tc>
          <w:tcPr>
            <w:tcW w:w="12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6EB9DC8B" w14:textId="77777777" w:rsidR="00C46619" w:rsidRDefault="00C46619" w:rsidP="00236EA1">
            <w:pPr>
              <w:jc w:val="center"/>
            </w:pPr>
            <w:r>
              <w:rPr>
                <w:b/>
                <w:bCs/>
                <w:color w:val="FFFFFF"/>
                <w:sz w:val="20"/>
                <w:szCs w:val="20"/>
              </w:rPr>
              <w:t>ΔQALYs</w:t>
            </w:r>
          </w:p>
        </w:tc>
        <w:tc>
          <w:tcPr>
            <w:tcW w:w="12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6B4EB5E8" w14:textId="77777777" w:rsidR="00C46619" w:rsidRDefault="00C46619" w:rsidP="00236EA1">
            <w:pPr>
              <w:jc w:val="center"/>
            </w:pPr>
            <w:r>
              <w:rPr>
                <w:b/>
                <w:bCs/>
                <w:color w:val="FFFFFF"/>
                <w:sz w:val="20"/>
                <w:szCs w:val="20"/>
              </w:rPr>
              <w:t>Classification</w:t>
            </w:r>
          </w:p>
        </w:tc>
        <w:tc>
          <w:tcPr>
            <w:tcW w:w="18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45A57766" w14:textId="77777777" w:rsidR="00C46619" w:rsidRDefault="00C46619" w:rsidP="00236EA1">
            <w:pPr>
              <w:jc w:val="center"/>
            </w:pPr>
            <w:r>
              <w:rPr>
                <w:b/>
                <w:bCs/>
                <w:color w:val="FFFFFF"/>
                <w:sz w:val="20"/>
                <w:szCs w:val="20"/>
              </w:rPr>
              <w:t>Guideline</w:t>
            </w:r>
          </w:p>
        </w:tc>
      </w:tr>
      <w:tr w:rsidR="00C46619" w14:paraId="4783C827" w14:textId="77777777" w:rsidTr="00236EA1">
        <w:tc>
          <w:tcPr>
            <w:tcW w:w="32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02803A9" w14:textId="77777777" w:rsidR="00C46619" w:rsidRDefault="00C46619" w:rsidP="00236EA1">
            <w:r>
              <w:rPr>
                <w:color w:val="000000"/>
                <w:sz w:val="20"/>
                <w:szCs w:val="20"/>
              </w:rPr>
              <w:t>Medium hospital, α=1.111</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A213AF1" w14:textId="77777777" w:rsidR="00C46619" w:rsidRDefault="00C46619" w:rsidP="00236EA1">
            <w:pPr>
              <w:jc w:val="center"/>
            </w:pPr>
            <w:r>
              <w:rPr>
                <w:color w:val="000000"/>
                <w:sz w:val="20"/>
                <w:szCs w:val="20"/>
              </w:rPr>
              <w:t>3.0%</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7DF1381" w14:textId="77777777" w:rsidR="00C46619" w:rsidRDefault="00C46619" w:rsidP="00236EA1">
            <w:pPr>
              <w:jc w:val="center"/>
            </w:pPr>
            <w:r>
              <w:rPr>
                <w:color w:val="000000"/>
                <w:sz w:val="20"/>
                <w:szCs w:val="20"/>
              </w:rPr>
              <w:t>€−34,615,283</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3FC218A" w14:textId="77777777" w:rsidR="00C46619" w:rsidRDefault="00C46619" w:rsidP="00236EA1">
            <w:pPr>
              <w:jc w:val="center"/>
            </w:pPr>
            <w:r>
              <w:rPr>
                <w:color w:val="000000"/>
                <w:sz w:val="20"/>
                <w:szCs w:val="20"/>
              </w:rPr>
              <w:t>173.08</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A9F97A2" w14:textId="77777777" w:rsidR="00C46619" w:rsidRDefault="00C46619" w:rsidP="00236EA1">
            <w:pPr>
              <w:jc w:val="center"/>
            </w:pPr>
            <w:r>
              <w:rPr>
                <w:color w:val="000000"/>
                <w:sz w:val="20"/>
                <w:szCs w:val="20"/>
              </w:rPr>
              <w:t>Dominant</w:t>
            </w:r>
          </w:p>
        </w:tc>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788D5EE" w14:textId="77777777" w:rsidR="00C46619" w:rsidRDefault="00C46619" w:rsidP="00236EA1">
            <w:pPr>
              <w:jc w:val="center"/>
            </w:pPr>
            <w:r>
              <w:rPr>
                <w:color w:val="000000"/>
                <w:sz w:val="20"/>
                <w:szCs w:val="20"/>
              </w:rPr>
              <w:t>NICE (UK)</w:t>
            </w:r>
          </w:p>
        </w:tc>
      </w:tr>
      <w:tr w:rsidR="00C46619" w14:paraId="5832FCA2" w14:textId="77777777" w:rsidTr="00236EA1">
        <w:tc>
          <w:tcPr>
            <w:tcW w:w="32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25A25EF4" w14:textId="77777777" w:rsidR="00C46619" w:rsidRDefault="00C46619" w:rsidP="00236EA1">
            <w:r>
              <w:rPr>
                <w:color w:val="000000"/>
                <w:sz w:val="20"/>
                <w:szCs w:val="20"/>
              </w:rPr>
              <w:t>Medium hospital, α=1.111</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12187DC" w14:textId="77777777" w:rsidR="00C46619" w:rsidRDefault="00C46619" w:rsidP="00236EA1">
            <w:pPr>
              <w:jc w:val="center"/>
            </w:pPr>
            <w:r>
              <w:rPr>
                <w:color w:val="000000"/>
                <w:sz w:val="20"/>
                <w:szCs w:val="20"/>
              </w:rPr>
              <w:t>3.5%</w:t>
            </w:r>
          </w:p>
        </w:tc>
        <w:tc>
          <w:tcPr>
            <w:tcW w:w="1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E65FF3A" w14:textId="77777777" w:rsidR="00C46619" w:rsidRDefault="00C46619" w:rsidP="00236EA1">
            <w:pPr>
              <w:jc w:val="center"/>
            </w:pPr>
            <w:r>
              <w:rPr>
                <w:color w:val="000000"/>
                <w:sz w:val="20"/>
                <w:szCs w:val="20"/>
              </w:rPr>
              <w:t>€−34,126,584</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9FD3B07" w14:textId="77777777" w:rsidR="00C46619" w:rsidRDefault="00C46619" w:rsidP="00236EA1">
            <w:pPr>
              <w:jc w:val="center"/>
            </w:pPr>
            <w:r>
              <w:rPr>
                <w:color w:val="000000"/>
                <w:sz w:val="20"/>
                <w:szCs w:val="20"/>
              </w:rPr>
              <w:t>170.64</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2CE1EAF" w14:textId="77777777" w:rsidR="00C46619" w:rsidRDefault="00C46619" w:rsidP="00236EA1">
            <w:pPr>
              <w:jc w:val="center"/>
            </w:pPr>
            <w:r>
              <w:rPr>
                <w:color w:val="000000"/>
                <w:sz w:val="20"/>
                <w:szCs w:val="20"/>
              </w:rPr>
              <w:t>Dominant</w:t>
            </w:r>
          </w:p>
        </w:tc>
        <w:tc>
          <w:tcPr>
            <w:tcW w:w="1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87C00AE" w14:textId="77777777" w:rsidR="00C46619" w:rsidRDefault="00C46619" w:rsidP="00236EA1">
            <w:pPr>
              <w:jc w:val="center"/>
            </w:pPr>
            <w:r>
              <w:rPr>
                <w:color w:val="000000"/>
                <w:sz w:val="20"/>
                <w:szCs w:val="20"/>
              </w:rPr>
              <w:t>ISPOR international</w:t>
            </w:r>
          </w:p>
        </w:tc>
      </w:tr>
      <w:tr w:rsidR="00C46619" w14:paraId="6581227A" w14:textId="77777777" w:rsidTr="00236EA1">
        <w:tc>
          <w:tcPr>
            <w:tcW w:w="32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712C27F" w14:textId="77777777" w:rsidR="00C46619" w:rsidRDefault="00C46619" w:rsidP="00236EA1">
            <w:r>
              <w:rPr>
                <w:color w:val="000000"/>
                <w:sz w:val="20"/>
                <w:szCs w:val="20"/>
              </w:rPr>
              <w:t>Medium hospital, α=1.111</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5BC4E56" w14:textId="77777777" w:rsidR="00C46619" w:rsidRDefault="00C46619" w:rsidP="00236EA1">
            <w:pPr>
              <w:jc w:val="center"/>
            </w:pPr>
            <w:r>
              <w:rPr>
                <w:color w:val="000000"/>
                <w:sz w:val="20"/>
                <w:szCs w:val="20"/>
              </w:rPr>
              <w:t>4.0%</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4162F09" w14:textId="77777777" w:rsidR="00C46619" w:rsidRDefault="00C46619" w:rsidP="00236EA1">
            <w:pPr>
              <w:jc w:val="center"/>
            </w:pPr>
            <w:r>
              <w:rPr>
                <w:color w:val="000000"/>
                <w:sz w:val="20"/>
                <w:szCs w:val="20"/>
              </w:rPr>
              <w:t>€−33,648,655</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2170E0F" w14:textId="77777777" w:rsidR="00C46619" w:rsidRDefault="00C46619" w:rsidP="00236EA1">
            <w:pPr>
              <w:jc w:val="center"/>
            </w:pPr>
            <w:r>
              <w:rPr>
                <w:color w:val="000000"/>
                <w:sz w:val="20"/>
                <w:szCs w:val="20"/>
              </w:rPr>
              <w:t>168.25</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9835295" w14:textId="77777777" w:rsidR="00C46619" w:rsidRDefault="00C46619" w:rsidP="00236EA1">
            <w:pPr>
              <w:jc w:val="center"/>
            </w:pPr>
            <w:r>
              <w:rPr>
                <w:color w:val="000000"/>
                <w:sz w:val="20"/>
                <w:szCs w:val="20"/>
              </w:rPr>
              <w:t>Dominant</w:t>
            </w:r>
          </w:p>
        </w:tc>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E03DEA5" w14:textId="77777777" w:rsidR="00C46619" w:rsidRDefault="00C46619" w:rsidP="00236EA1">
            <w:pPr>
              <w:jc w:val="center"/>
            </w:pPr>
            <w:r>
              <w:rPr>
                <w:color w:val="000000"/>
                <w:sz w:val="20"/>
                <w:szCs w:val="20"/>
              </w:rPr>
              <w:t>NoMA (base case)</w:t>
            </w:r>
          </w:p>
        </w:tc>
      </w:tr>
    </w:tbl>
    <w:p w14:paraId="2614878D" w14:textId="77777777" w:rsidR="00C46619" w:rsidRDefault="00C46619" w:rsidP="00C46619">
      <w:pPr>
        <w:spacing w:before="80"/>
      </w:pPr>
    </w:p>
    <w:p w14:paraId="7CA0EEE8" w14:textId="77777777" w:rsidR="00C46619" w:rsidRDefault="00C46619" w:rsidP="00C46619">
      <w:pPr>
        <w:spacing w:before="80" w:after="80" w:line="276" w:lineRule="auto"/>
        <w:jc w:val="both"/>
      </w:pPr>
      <w:r>
        <w:rPr>
          <w:color w:val="000000"/>
        </w:rPr>
        <w:t xml:space="preserve">The surrogate link α was estimated in a clinical-note retrieval task using the MIMIC-IV-Ext-DiReCT dataset (Wang et al., NeurIPS 2024 D&amp;B Track) </w:t>
      </w:r>
      <w:r>
        <w:rPr>
          <w:color w:val="000000"/>
        </w:rPr>
        <w:fldChar w:fldCharType="begin"/>
      </w:r>
      <w:r>
        <w:rPr>
          <w:color w:val="000000"/>
        </w:rPr>
        <w:instrText xml:space="preserve"> ADDIN EN.CITE &lt;EndNote&gt;&lt;Cite&gt;&lt;Author&gt;Wang&lt;/Author&gt;&lt;Year&gt;2024&lt;/Year&gt;&lt;RecNum&gt;81&lt;/RecNum&gt;&lt;DisplayText&gt;[19]&lt;/DisplayText&gt;&lt;record&gt;&lt;rec-number&gt;81&lt;/rec-number&gt;&lt;foreign-keys&gt;&lt;key app="EN" db-id="2tr2t0fr0xfe58evzslxvxrv2z2afz59pdt5" timestamp="1772104568"&gt;81&lt;/key&gt;&lt;/foreign-keys&gt;&lt;ref-type name="Journal Article"&gt;17&lt;/ref-type&gt;&lt;contributors&gt;&lt;authors&gt;&lt;author&gt;Wang, L.&lt;/author&gt;&lt;author&gt;Yang, N.&lt;/author&gt;&lt;author&gt;Huang, X.&lt;/author&gt;&lt;author&gt;et al.,&lt;/author&gt;&lt;/authors&gt;&lt;/contributors&gt;&lt;titles&gt;&lt;title&gt;Improving text embeddings with large language models&lt;/title&gt;&lt;/titles&gt;&lt;dates&gt;&lt;year&gt;2024&lt;/year&gt;&lt;/dates&gt;&lt;urls&gt;&lt;related-urls&gt;&lt;url&gt;https://arxiv.org/abs/2401.00368&lt;/url&gt;&lt;/related-urls&gt;&lt;/urls&gt;&lt;/record&gt;&lt;/Cite&gt;&lt;/EndNote&gt;</w:instrText>
      </w:r>
      <w:r>
        <w:rPr>
          <w:color w:val="000000"/>
        </w:rPr>
        <w:fldChar w:fldCharType="separate"/>
      </w:r>
      <w:r>
        <w:rPr>
          <w:noProof/>
          <w:color w:val="000000"/>
        </w:rPr>
        <w:t>[19]</w:t>
      </w:r>
      <w:r>
        <w:rPr>
          <w:color w:val="000000"/>
        </w:rPr>
        <w:fldChar w:fldCharType="end"/>
      </w:r>
      <w:r>
        <w:rPr>
          <w:color w:val="000000"/>
        </w:rPr>
        <w:t xml:space="preserve">, which includes 511 MIMIC-IV clinical notes (343 with sufficient text after preprocessing) annotated by physicians with primary discharge diagnoses (PDD) across 17 disease categories. This provides an empirical estimate of α in a diagnosis-label retrieval setting based on real clinical notes, improving upon the transported CDSS estimate by Tao et al. </w:t>
      </w:r>
      <w:r>
        <w:rPr>
          <w:color w:val="000000"/>
        </w:rPr>
        <w:fldChar w:fldCharType="begin"/>
      </w:r>
      <w:r>
        <w:rPr>
          <w:color w:val="000000"/>
        </w:rPr>
        <w:instrText xml:space="preserve"> ADDIN EN.CITE &lt;EndNote&gt;&lt;Cite&gt;&lt;Author&gt;Tao&lt;/Author&gt;&lt;Year&gt;2020&lt;/Year&gt;&lt;RecNum&gt;180&lt;/RecNum&gt;&lt;DisplayText&gt;[17]&lt;/DisplayText&gt;&lt;record&gt;&lt;rec-number&gt;180&lt;/rec-number&gt;&lt;foreign-keys&gt;&lt;key app="EN" db-id="2tr2t0fr0xfe58evzslxvxrv2z2afz59pdt5" timestamp="1773776580"&gt;180&lt;/key&gt;&lt;/foreign-keys&gt;&lt;ref-type name="Journal Article"&gt;17&lt;/ref-type&gt;&lt;contributors&gt;&lt;authors&gt;&lt;author&gt;Tao, L.&lt;/author&gt;&lt;author&gt;Zhang, C.&lt;/author&gt;&lt;author&gt;Zeng, L.&lt;/author&gt;&lt;author&gt;Zhu, S.&lt;/author&gt;&lt;author&gt;Li, N.&lt;/author&gt;&lt;author&gt;Li, W.&lt;/author&gt;&lt;author&gt;Zhang, H.&lt;/author&gt;&lt;author&gt;Zhao, Y.&lt;/author&gt;&lt;author&gt;Zhan, S.&lt;/author&gt;&lt;author&gt;Ji, H.&lt;/author&gt;&lt;/authors&gt;&lt;/contributors&gt;&lt;auth-address&gt;Research Center of Clinical Epidemiology, Peking University Third Hospital, Beijing, China.&amp;#xD;Information Management and Big Data Center, Peking University Third Hospital, Beijing, China.&amp;#xD;Department of Epidemiology and Biostatistics, School of Public Health, Peking University, Beijing, China.&lt;/auth-address&gt;&lt;titles&gt;&lt;title&gt;Accuracy and Effects of Clinical Decision Support Systems Integrated With BMJ Best Practice-Aided Diagnosis: Interrupted Time Series Study&lt;/title&gt;&lt;secondary-title&gt;JMIR Med Inform&lt;/secondary-title&gt;&lt;/titles&gt;&lt;periodical&gt;&lt;full-title&gt;JMIR Med Inform&lt;/full-title&gt;&lt;/periodical&gt;&lt;pages&gt;e16912&lt;/pages&gt;&lt;volume&gt;8&lt;/volume&gt;&lt;number&gt;1&lt;/number&gt;&lt;edition&gt;20200120&lt;/edition&gt;&lt;keywords&gt;&lt;keyword&gt;BMJ Best Practice&lt;/keyword&gt;&lt;keyword&gt;accuracy and effect&lt;/keyword&gt;&lt;keyword&gt;aided diagnosis&lt;/keyword&gt;&lt;keyword&gt;artificial intelligence&lt;/keyword&gt;&lt;keyword&gt;clinical decision support systems&lt;/keyword&gt;&lt;/keywords&gt;&lt;dates&gt;&lt;year&gt;2020&lt;/year&gt;&lt;pub-dates&gt;&lt;date&gt;Jan 20&lt;/date&gt;&lt;/pub-dates&gt;&lt;/dates&gt;&lt;isbn&gt;2291-9694 (Print)&amp;#xD;2291-9694&lt;/isbn&gt;&lt;accession-num&gt;31958069&lt;/accession-num&gt;&lt;urls&gt;&lt;/urls&gt;&lt;custom1&gt;Conflicts of Interest: None declared.&lt;/custom1&gt;&lt;custom2&gt;PMC6997922&lt;/custom2&gt;&lt;electronic-resource-num&gt;10.2196/16912&lt;/electronic-resource-num&gt;&lt;remote-database-provider&gt;NLM&lt;/remote-database-provider&gt;&lt;language&gt;eng&lt;/language&gt;&lt;/record&gt;&lt;/Cite&gt;&lt;/EndNote&gt;</w:instrText>
      </w:r>
      <w:r>
        <w:rPr>
          <w:color w:val="000000"/>
        </w:rPr>
        <w:fldChar w:fldCharType="separate"/>
      </w:r>
      <w:r>
        <w:rPr>
          <w:noProof/>
          <w:color w:val="000000"/>
        </w:rPr>
        <w:t>[17]</w:t>
      </w:r>
      <w:r>
        <w:rPr>
          <w:color w:val="000000"/>
        </w:rPr>
        <w:fldChar w:fldCharType="end"/>
      </w:r>
      <w:r>
        <w:rPr>
          <w:color w:val="000000"/>
        </w:rPr>
        <w:t xml:space="preserve"> used in previous versions. It does not directly assess how retrieval quality impacts clinician diagnostic performance in a live workflow; that structural connection remains unvalidated.</w:t>
      </w:r>
    </w:p>
    <w:p w14:paraId="44FA2D72" w14:textId="77777777" w:rsidR="00C46619" w:rsidRDefault="00C46619" w:rsidP="00C46619">
      <w:pPr>
        <w:spacing w:before="80" w:after="80" w:line="276" w:lineRule="auto"/>
        <w:jc w:val="both"/>
      </w:pPr>
      <w:r>
        <w:rPr>
          <w:color w:val="000000"/>
        </w:rPr>
        <w:t>Experiment design: Clinical notes were encoded with four embedding models: BioBERT (dmis-lab/biobert-v1.1), ClinicalBERT (medicalai/ClinicalBERT), BGE-base (BAAI/bge-base-en-v1.5), and GTE-base (thenlper/gte-base). Mean-pooled embeddings were L2-normalized. ZCA whitening (ε = 0.1) was applied only to the corpus. Retrieval was evaluated as known-item search: each note as a query against the full 343-note corpus, with PDD match as the relevance criterion (more strict than disease-category match). MRR@10 and top-1 accuracy were measured both before and after whitening. α = Δacc@1 / ΔMRR@10. Bootstrap CI: 2,000 iterations (sampling with replacement).</w:t>
      </w:r>
    </w:p>
    <w:p w14:paraId="4CAE4F4C" w14:textId="77777777" w:rsidR="00C46619" w:rsidRDefault="00C46619" w:rsidP="00C46619">
      <w:pPr>
        <w:spacing w:before="80" w:after="80" w:line="276" w:lineRule="auto"/>
        <w:jc w:val="both"/>
      </w:pPr>
      <w:r>
        <w:rPr>
          <w:color w:val="000000"/>
        </w:rPr>
        <w:t>Results by model:</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76"/>
        <w:gridCol w:w="951"/>
        <w:gridCol w:w="893"/>
        <w:gridCol w:w="1124"/>
        <w:gridCol w:w="1142"/>
        <w:gridCol w:w="1068"/>
        <w:gridCol w:w="2172"/>
      </w:tblGrid>
      <w:tr w:rsidR="00C46619" w14:paraId="24526E4D" w14:textId="77777777" w:rsidTr="00236EA1">
        <w:trPr>
          <w:tblHeader/>
        </w:trPr>
        <w:tc>
          <w:tcPr>
            <w:tcW w:w="18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5624EB21" w14:textId="77777777" w:rsidR="00C46619" w:rsidRDefault="00C46619" w:rsidP="00236EA1">
            <w:r>
              <w:rPr>
                <w:b/>
                <w:bCs/>
                <w:color w:val="FFFFFF"/>
                <w:sz w:val="20"/>
                <w:szCs w:val="20"/>
              </w:rPr>
              <w:t>Model</w:t>
            </w:r>
          </w:p>
        </w:tc>
        <w:tc>
          <w:tcPr>
            <w:tcW w:w="10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615D26A1" w14:textId="77777777" w:rsidR="00C46619" w:rsidRDefault="00C46619" w:rsidP="00236EA1">
            <w:pPr>
              <w:jc w:val="center"/>
            </w:pPr>
            <w:r>
              <w:rPr>
                <w:b/>
                <w:bCs/>
                <w:color w:val="FFFFFF"/>
                <w:sz w:val="20"/>
                <w:szCs w:val="20"/>
              </w:rPr>
              <w:t>PR before</w:t>
            </w:r>
          </w:p>
        </w:tc>
        <w:tc>
          <w:tcPr>
            <w:tcW w:w="10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4D9FDFEE" w14:textId="77777777" w:rsidR="00C46619" w:rsidRDefault="00C46619" w:rsidP="00236EA1">
            <w:pPr>
              <w:jc w:val="center"/>
            </w:pPr>
            <w:r>
              <w:rPr>
                <w:b/>
                <w:bCs/>
                <w:color w:val="FFFFFF"/>
                <w:sz w:val="20"/>
                <w:szCs w:val="20"/>
              </w:rPr>
              <w:t>PR after</w:t>
            </w:r>
          </w:p>
        </w:tc>
        <w:tc>
          <w:tcPr>
            <w:tcW w:w="12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095E8774" w14:textId="77777777" w:rsidR="00C46619" w:rsidRDefault="00C46619" w:rsidP="00236EA1">
            <w:pPr>
              <w:jc w:val="center"/>
            </w:pPr>
            <w:r>
              <w:rPr>
                <w:b/>
                <w:bCs/>
                <w:color w:val="FFFFFF"/>
                <w:sz w:val="20"/>
                <w:szCs w:val="20"/>
              </w:rPr>
              <w:t>ΔMRR (PDD)</w:t>
            </w:r>
          </w:p>
        </w:tc>
        <w:tc>
          <w:tcPr>
            <w:tcW w:w="12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0A7F2664" w14:textId="77777777" w:rsidR="00C46619" w:rsidRDefault="00C46619" w:rsidP="00236EA1">
            <w:pPr>
              <w:jc w:val="center"/>
            </w:pPr>
            <w:r>
              <w:rPr>
                <w:b/>
                <w:bCs/>
                <w:color w:val="FFFFFF"/>
                <w:sz w:val="20"/>
                <w:szCs w:val="20"/>
              </w:rPr>
              <w:t>Δacc@1 (PDD)</w:t>
            </w:r>
          </w:p>
        </w:tc>
        <w:tc>
          <w:tcPr>
            <w:tcW w:w="12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4AF0751D" w14:textId="77777777" w:rsidR="00C46619" w:rsidRDefault="00C46619" w:rsidP="00236EA1">
            <w:pPr>
              <w:jc w:val="center"/>
            </w:pPr>
            <w:r>
              <w:rPr>
                <w:b/>
                <w:bCs/>
                <w:color w:val="FFFFFF"/>
                <w:sz w:val="20"/>
                <w:szCs w:val="20"/>
              </w:rPr>
              <w:t>α (PDD)</w:t>
            </w:r>
          </w:p>
        </w:tc>
        <w:tc>
          <w:tcPr>
            <w:tcW w:w="2626"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05C9A883" w14:textId="77777777" w:rsidR="00C46619" w:rsidRDefault="00C46619" w:rsidP="00236EA1">
            <w:pPr>
              <w:jc w:val="center"/>
            </w:pPr>
            <w:r>
              <w:rPr>
                <w:b/>
                <w:bCs/>
                <w:color w:val="FFFFFF"/>
                <w:sz w:val="20"/>
                <w:szCs w:val="20"/>
              </w:rPr>
              <w:t>Bootstrap 95% CI</w:t>
            </w:r>
          </w:p>
        </w:tc>
      </w:tr>
      <w:tr w:rsidR="00C46619" w14:paraId="0A5908A5" w14:textId="77777777" w:rsidTr="00236EA1">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95E491B" w14:textId="77777777" w:rsidR="00C46619" w:rsidRDefault="00C46619" w:rsidP="00236EA1">
            <w:r>
              <w:rPr>
                <w:color w:val="000000"/>
                <w:sz w:val="20"/>
                <w:szCs w:val="20"/>
              </w:rPr>
              <w:t>BioBERT</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1274F14" w14:textId="77777777" w:rsidR="00C46619" w:rsidRDefault="00C46619" w:rsidP="00236EA1">
            <w:pPr>
              <w:jc w:val="center"/>
            </w:pPr>
            <w:r>
              <w:rPr>
                <w:color w:val="000000"/>
                <w:sz w:val="20"/>
                <w:szCs w:val="20"/>
              </w:rPr>
              <w:t>15.7</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C116391" w14:textId="77777777" w:rsidR="00C46619" w:rsidRDefault="00C46619" w:rsidP="00236EA1">
            <w:pPr>
              <w:jc w:val="center"/>
            </w:pPr>
            <w:r>
              <w:rPr>
                <w:color w:val="000000"/>
                <w:sz w:val="20"/>
                <w:szCs w:val="20"/>
              </w:rPr>
              <w:t>21.9</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2259F73" w14:textId="77777777" w:rsidR="00C46619" w:rsidRDefault="00C46619" w:rsidP="00236EA1">
            <w:pPr>
              <w:jc w:val="center"/>
            </w:pPr>
            <w:r>
              <w:rPr>
                <w:color w:val="000000"/>
                <w:sz w:val="20"/>
                <w:szCs w:val="20"/>
              </w:rPr>
              <w:t>+0.0197</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862C1B1" w14:textId="77777777" w:rsidR="00C46619" w:rsidRDefault="00C46619" w:rsidP="00236EA1">
            <w:pPr>
              <w:jc w:val="center"/>
            </w:pPr>
            <w:r>
              <w:rPr>
                <w:color w:val="000000"/>
                <w:sz w:val="20"/>
                <w:szCs w:val="20"/>
              </w:rPr>
              <w:t>+0.0233</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FAD5EA5" w14:textId="77777777" w:rsidR="00C46619" w:rsidRDefault="00C46619" w:rsidP="00236EA1">
            <w:pPr>
              <w:jc w:val="center"/>
            </w:pPr>
            <w:r>
              <w:rPr>
                <w:color w:val="000000"/>
                <w:sz w:val="20"/>
                <w:szCs w:val="20"/>
              </w:rPr>
              <w:t>1.186</w:t>
            </w:r>
          </w:p>
        </w:tc>
        <w:tc>
          <w:tcPr>
            <w:tcW w:w="26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914B462" w14:textId="77777777" w:rsidR="00C46619" w:rsidRDefault="00C46619" w:rsidP="00236EA1">
            <w:r>
              <w:rPr>
                <w:color w:val="000000"/>
                <w:sz w:val="20"/>
                <w:szCs w:val="20"/>
              </w:rPr>
              <w:t>[−1.150, 5.771] — unstable, CI crosses zero</w:t>
            </w:r>
          </w:p>
        </w:tc>
      </w:tr>
      <w:tr w:rsidR="00C46619" w14:paraId="3F52491A" w14:textId="77777777" w:rsidTr="00236EA1">
        <w:tc>
          <w:tcPr>
            <w:tcW w:w="1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4AD4AC8" w14:textId="77777777" w:rsidR="00C46619" w:rsidRDefault="00C46619" w:rsidP="00236EA1">
            <w:r>
              <w:rPr>
                <w:color w:val="000000"/>
                <w:sz w:val="20"/>
                <w:szCs w:val="20"/>
              </w:rPr>
              <w:t>ClinicalBERT</w:t>
            </w:r>
          </w:p>
        </w:tc>
        <w:tc>
          <w:tcPr>
            <w:tcW w:w="1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71A8DE8" w14:textId="77777777" w:rsidR="00C46619" w:rsidRDefault="00C46619" w:rsidP="00236EA1">
            <w:pPr>
              <w:jc w:val="center"/>
            </w:pPr>
            <w:r>
              <w:rPr>
                <w:color w:val="000000"/>
                <w:sz w:val="20"/>
                <w:szCs w:val="20"/>
              </w:rPr>
              <w:t>12.0</w:t>
            </w:r>
          </w:p>
        </w:tc>
        <w:tc>
          <w:tcPr>
            <w:tcW w:w="1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30C2E06A" w14:textId="77777777" w:rsidR="00C46619" w:rsidRDefault="00C46619" w:rsidP="00236EA1">
            <w:pPr>
              <w:jc w:val="center"/>
            </w:pPr>
            <w:r>
              <w:rPr>
                <w:color w:val="000000"/>
                <w:sz w:val="20"/>
                <w:szCs w:val="20"/>
              </w:rPr>
              <w:t>17.9</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3F2801E6" w14:textId="77777777" w:rsidR="00C46619" w:rsidRDefault="00C46619" w:rsidP="00236EA1">
            <w:pPr>
              <w:jc w:val="center"/>
            </w:pPr>
            <w:r>
              <w:rPr>
                <w:color w:val="000000"/>
                <w:sz w:val="20"/>
                <w:szCs w:val="20"/>
              </w:rPr>
              <w:t>+0.0367</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7CDDA1A7" w14:textId="77777777" w:rsidR="00C46619" w:rsidRDefault="00C46619" w:rsidP="00236EA1">
            <w:pPr>
              <w:jc w:val="center"/>
            </w:pPr>
            <w:r>
              <w:rPr>
                <w:color w:val="000000"/>
                <w:sz w:val="20"/>
                <w:szCs w:val="20"/>
              </w:rPr>
              <w:t>+0.0408</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D8F8059" w14:textId="77777777" w:rsidR="00C46619" w:rsidRDefault="00C46619" w:rsidP="00236EA1">
            <w:pPr>
              <w:jc w:val="center"/>
            </w:pPr>
            <w:r>
              <w:rPr>
                <w:color w:val="000000"/>
                <w:sz w:val="20"/>
                <w:szCs w:val="20"/>
              </w:rPr>
              <w:t>1.111</w:t>
            </w:r>
          </w:p>
        </w:tc>
        <w:tc>
          <w:tcPr>
            <w:tcW w:w="26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53BB9C3" w14:textId="77777777" w:rsidR="00C46619" w:rsidRDefault="00C46619" w:rsidP="00236EA1">
            <w:r>
              <w:rPr>
                <w:color w:val="000000"/>
                <w:sz w:val="20"/>
                <w:szCs w:val="20"/>
              </w:rPr>
              <w:t>[1.014, 2.541] — PRIMARY ESTIMATE</w:t>
            </w:r>
          </w:p>
        </w:tc>
      </w:tr>
      <w:tr w:rsidR="00C46619" w14:paraId="79A7B702" w14:textId="77777777" w:rsidTr="00236EA1">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2CB4D6D" w14:textId="77777777" w:rsidR="00C46619" w:rsidRDefault="00C46619" w:rsidP="00236EA1">
            <w:r>
              <w:rPr>
                <w:color w:val="000000"/>
                <w:sz w:val="20"/>
                <w:szCs w:val="20"/>
              </w:rPr>
              <w:t>BGE-base</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C66266A" w14:textId="77777777" w:rsidR="00C46619" w:rsidRDefault="00C46619" w:rsidP="00236EA1">
            <w:pPr>
              <w:jc w:val="center"/>
            </w:pPr>
            <w:r>
              <w:rPr>
                <w:color w:val="000000"/>
                <w:sz w:val="20"/>
                <w:szCs w:val="20"/>
              </w:rPr>
              <w:t>48.6</w:t>
            </w:r>
          </w:p>
        </w:tc>
        <w:tc>
          <w:tcPr>
            <w:tcW w:w="1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5DC85DA" w14:textId="77777777" w:rsidR="00C46619" w:rsidRDefault="00C46619" w:rsidP="00236EA1">
            <w:pPr>
              <w:jc w:val="center"/>
            </w:pPr>
            <w:r>
              <w:rPr>
                <w:color w:val="000000"/>
                <w:sz w:val="20"/>
                <w:szCs w:val="20"/>
              </w:rPr>
              <w:t>56.0</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807D1C4" w14:textId="77777777" w:rsidR="00C46619" w:rsidRDefault="00C46619" w:rsidP="00236EA1">
            <w:pPr>
              <w:jc w:val="center"/>
            </w:pPr>
            <w:r>
              <w:rPr>
                <w:color w:val="000000"/>
                <w:sz w:val="20"/>
                <w:szCs w:val="20"/>
              </w:rPr>
              <w:t>+0.0304</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F071050" w14:textId="77777777" w:rsidR="00C46619" w:rsidRDefault="00C46619" w:rsidP="00236EA1">
            <w:pPr>
              <w:jc w:val="center"/>
            </w:pPr>
            <w:r>
              <w:rPr>
                <w:color w:val="000000"/>
                <w:sz w:val="20"/>
                <w:szCs w:val="20"/>
              </w:rPr>
              <w:t>+0.0379</w:t>
            </w:r>
          </w:p>
        </w:tc>
        <w:tc>
          <w:tcPr>
            <w:tcW w:w="1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D09AB2C" w14:textId="77777777" w:rsidR="00C46619" w:rsidRDefault="00C46619" w:rsidP="00236EA1">
            <w:pPr>
              <w:jc w:val="center"/>
            </w:pPr>
            <w:r>
              <w:rPr>
                <w:color w:val="000000"/>
                <w:sz w:val="20"/>
                <w:szCs w:val="20"/>
              </w:rPr>
              <w:t>1.247</w:t>
            </w:r>
          </w:p>
        </w:tc>
        <w:tc>
          <w:tcPr>
            <w:tcW w:w="26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6F89638" w14:textId="77777777" w:rsidR="00C46619" w:rsidRDefault="00C46619" w:rsidP="00236EA1">
            <w:r>
              <w:rPr>
                <w:color w:val="000000"/>
                <w:sz w:val="20"/>
                <w:szCs w:val="20"/>
              </w:rPr>
              <w:t>[−0.614, 3.191] — unstable, CI crosses zero</w:t>
            </w:r>
          </w:p>
        </w:tc>
      </w:tr>
      <w:tr w:rsidR="00C46619" w14:paraId="7EB1AD16" w14:textId="77777777" w:rsidTr="00236EA1">
        <w:tc>
          <w:tcPr>
            <w:tcW w:w="1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3224D1AC" w14:textId="77777777" w:rsidR="00C46619" w:rsidRDefault="00C46619" w:rsidP="00236EA1">
            <w:r>
              <w:rPr>
                <w:color w:val="000000"/>
                <w:sz w:val="20"/>
                <w:szCs w:val="20"/>
              </w:rPr>
              <w:lastRenderedPageBreak/>
              <w:t>GTE-base</w:t>
            </w:r>
          </w:p>
        </w:tc>
        <w:tc>
          <w:tcPr>
            <w:tcW w:w="1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98C7665" w14:textId="77777777" w:rsidR="00C46619" w:rsidRDefault="00C46619" w:rsidP="00236EA1">
            <w:pPr>
              <w:jc w:val="center"/>
            </w:pPr>
            <w:r>
              <w:rPr>
                <w:color w:val="000000"/>
                <w:sz w:val="20"/>
                <w:szCs w:val="20"/>
              </w:rPr>
              <w:t>44.0</w:t>
            </w:r>
          </w:p>
        </w:tc>
        <w:tc>
          <w:tcPr>
            <w:tcW w:w="1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2CA6E266" w14:textId="77777777" w:rsidR="00C46619" w:rsidRDefault="00C46619" w:rsidP="00236EA1">
            <w:pPr>
              <w:jc w:val="center"/>
            </w:pPr>
            <w:r>
              <w:rPr>
                <w:color w:val="000000"/>
                <w:sz w:val="20"/>
                <w:szCs w:val="20"/>
              </w:rPr>
              <w:t>49.5</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9483780" w14:textId="77777777" w:rsidR="00C46619" w:rsidRDefault="00C46619" w:rsidP="00236EA1">
            <w:pPr>
              <w:jc w:val="center"/>
            </w:pPr>
            <w:r>
              <w:rPr>
                <w:color w:val="000000"/>
                <w:sz w:val="20"/>
                <w:szCs w:val="20"/>
              </w:rPr>
              <w:t>+0.0331</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285F82E" w14:textId="77777777" w:rsidR="00C46619" w:rsidRDefault="00C46619" w:rsidP="00236EA1">
            <w:pPr>
              <w:jc w:val="center"/>
            </w:pPr>
            <w:r>
              <w:rPr>
                <w:color w:val="000000"/>
                <w:sz w:val="20"/>
                <w:szCs w:val="20"/>
              </w:rPr>
              <w:t>+0.0496</w:t>
            </w:r>
          </w:p>
        </w:tc>
        <w:tc>
          <w:tcPr>
            <w:tcW w:w="12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88EA58B" w14:textId="77777777" w:rsidR="00C46619" w:rsidRDefault="00C46619" w:rsidP="00236EA1">
            <w:pPr>
              <w:jc w:val="center"/>
            </w:pPr>
            <w:r>
              <w:rPr>
                <w:color w:val="000000"/>
                <w:sz w:val="20"/>
                <w:szCs w:val="20"/>
              </w:rPr>
              <w:t>1.497</w:t>
            </w:r>
          </w:p>
        </w:tc>
        <w:tc>
          <w:tcPr>
            <w:tcW w:w="26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371C57A" w14:textId="77777777" w:rsidR="00C46619" w:rsidRDefault="00C46619" w:rsidP="00236EA1">
            <w:r>
              <w:rPr>
                <w:color w:val="000000"/>
                <w:sz w:val="20"/>
                <w:szCs w:val="20"/>
              </w:rPr>
              <w:t>[1.229, 2.087] — reliable</w:t>
            </w:r>
          </w:p>
        </w:tc>
      </w:tr>
    </w:tbl>
    <w:p w14:paraId="014A280C" w14:textId="77777777" w:rsidR="00C46619" w:rsidRDefault="00C46619" w:rsidP="00C46619">
      <w:pPr>
        <w:spacing w:before="60"/>
      </w:pPr>
    </w:p>
    <w:p w14:paraId="14EEFC00" w14:textId="77777777" w:rsidR="00C46619" w:rsidRDefault="00C46619" w:rsidP="00C46619">
      <w:pPr>
        <w:spacing w:before="80" w:after="80" w:line="276" w:lineRule="auto"/>
        <w:jc w:val="both"/>
      </w:pPr>
      <w:r>
        <w:rPr>
          <w:color w:val="000000"/>
        </w:rPr>
        <w:t>Primary estimate: ClinicalBERT, α = 1.111, 95% CI [1.014, 2.541]. ClinicalBERT was chosen as the primary because: (a) it is a degraded model that matches the intervention target in the companion paper; (b) its bootstrap CI does not cross zero (BioBERT’s does); (c) it provides the more conservative estimate among the two reliable models (ClinicalBERT 1.111 vs GTE-base 1.497).</w:t>
      </w:r>
    </w:p>
    <w:p w14:paraId="2F4642DA" w14:textId="77777777" w:rsidR="00C46619" w:rsidRDefault="00C46619" w:rsidP="00C46619">
      <w:pPr>
        <w:spacing w:before="80" w:after="80" w:line="276" w:lineRule="auto"/>
        <w:jc w:val="both"/>
      </w:pPr>
      <w:r>
        <w:rPr>
          <w:color w:val="000000"/>
        </w:rPr>
        <w:t>Why α &gt; 1: MRR@10 and acc@1 have different sensitivities to rank changes. A document promoted from rank 2 to rank 1 changes MRR by 1/1 − 1/2 = 0.5, but changes acc@1 by 1.0 (binary). When whitening disproportionately promotes near-top-ranked documents to rank 1, as the participation ratio data suggest it does, by improving discriminability at high-similarity pairs, α &gt; 1 is mechanistically expected rather than a scale artefact.</w:t>
      </w:r>
    </w:p>
    <w:p w14:paraId="357F62AD" w14:textId="77777777" w:rsidR="00C46619" w:rsidRDefault="00C46619" w:rsidP="00C46619">
      <w:pPr>
        <w:spacing w:before="80" w:after="80" w:line="276" w:lineRule="auto"/>
        <w:jc w:val="both"/>
      </w:pPr>
      <w:r>
        <w:rPr>
          <w:color w:val="000000"/>
        </w:rPr>
        <w:t xml:space="preserve">Retained conservative scenario: Tao et al. </w:t>
      </w:r>
      <w:r>
        <w:rPr>
          <w:color w:val="000000"/>
        </w:rPr>
        <w:fldChar w:fldCharType="begin"/>
      </w:r>
      <w:r>
        <w:rPr>
          <w:color w:val="000000"/>
        </w:rPr>
        <w:instrText xml:space="preserve"> ADDIN EN.CITE &lt;EndNote&gt;&lt;Cite&gt;&lt;Author&gt;Tao&lt;/Author&gt;&lt;Year&gt;2020&lt;/Year&gt;&lt;RecNum&gt;180&lt;/RecNum&gt;&lt;DisplayText&gt;[17]&lt;/DisplayText&gt;&lt;record&gt;&lt;rec-number&gt;180&lt;/rec-number&gt;&lt;foreign-keys&gt;&lt;key app="EN" db-id="2tr2t0fr0xfe58evzslxvxrv2z2afz59pdt5" timestamp="1773776580"&gt;180&lt;/key&gt;&lt;/foreign-keys&gt;&lt;ref-type name="Journal Article"&gt;17&lt;/ref-type&gt;&lt;contributors&gt;&lt;authors&gt;&lt;author&gt;Tao, L.&lt;/author&gt;&lt;author&gt;Zhang, C.&lt;/author&gt;&lt;author&gt;Zeng, L.&lt;/author&gt;&lt;author&gt;Zhu, S.&lt;/author&gt;&lt;author&gt;Li, N.&lt;/author&gt;&lt;author&gt;Li, W.&lt;/author&gt;&lt;author&gt;Zhang, H.&lt;/author&gt;&lt;author&gt;Zhao, Y.&lt;/author&gt;&lt;author&gt;Zhan, S.&lt;/author&gt;&lt;author&gt;Ji, H.&lt;/author&gt;&lt;/authors&gt;&lt;/contributors&gt;&lt;auth-address&gt;Research Center of Clinical Epidemiology, Peking University Third Hospital, Beijing, China.&amp;#xD;Information Management and Big Data Center, Peking University Third Hospital, Beijing, China.&amp;#xD;Department of Epidemiology and Biostatistics, School of Public Health, Peking University, Beijing, China.&lt;/auth-address&gt;&lt;titles&gt;&lt;title&gt;Accuracy and Effects of Clinical Decision Support Systems Integrated With BMJ Best Practice-Aided Diagnosis: Interrupted Time Series Study&lt;/title&gt;&lt;secondary-title&gt;JMIR Med Inform&lt;/secondary-title&gt;&lt;/titles&gt;&lt;periodical&gt;&lt;full-title&gt;JMIR Med Inform&lt;/full-title&gt;&lt;/periodical&gt;&lt;pages&gt;e16912&lt;/pages&gt;&lt;volume&gt;8&lt;/volume&gt;&lt;number&gt;1&lt;/number&gt;&lt;edition&gt;20200120&lt;/edition&gt;&lt;keywords&gt;&lt;keyword&gt;BMJ Best Practice&lt;/keyword&gt;&lt;keyword&gt;accuracy and effect&lt;/keyword&gt;&lt;keyword&gt;aided diagnosis&lt;/keyword&gt;&lt;keyword&gt;artificial intelligence&lt;/keyword&gt;&lt;keyword&gt;clinical decision support systems&lt;/keyword&gt;&lt;/keywords&gt;&lt;dates&gt;&lt;year&gt;2020&lt;/year&gt;&lt;pub-dates&gt;&lt;date&gt;Jan 20&lt;/date&gt;&lt;/pub-dates&gt;&lt;/dates&gt;&lt;isbn&gt;2291-9694 (Print)&amp;#xD;2291-9694&lt;/isbn&gt;&lt;accession-num&gt;31958069&lt;/accession-num&gt;&lt;urls&gt;&lt;/urls&gt;&lt;custom1&gt;Conflicts of Interest: None declared.&lt;/custom1&gt;&lt;custom2&gt;PMC6997922&lt;/custom2&gt;&lt;electronic-resource-num&gt;10.2196/16912&lt;/electronic-resource-num&gt;&lt;remote-database-provider&gt;NLM&lt;/remote-database-provider&gt;&lt;language&gt;eng&lt;/language&gt;&lt;/record&gt;&lt;/Cite&gt;&lt;/EndNote&gt;</w:instrText>
      </w:r>
      <w:r>
        <w:rPr>
          <w:color w:val="000000"/>
        </w:rPr>
        <w:fldChar w:fldCharType="separate"/>
      </w:r>
      <w:r>
        <w:rPr>
          <w:noProof/>
          <w:color w:val="000000"/>
        </w:rPr>
        <w:t>[17]</w:t>
      </w:r>
      <w:r>
        <w:rPr>
          <w:color w:val="000000"/>
        </w:rPr>
        <w:fldChar w:fldCharType="end"/>
      </w:r>
      <w:r>
        <w:rPr>
          <w:color w:val="000000"/>
        </w:rPr>
        <w:t xml:space="preserve"> (α = 0.36), derived from rank-stratified CDSS accuracy in 34,113 inpatient records. This now represents the PSA lower bound and the conservative scenario, not the base case. It differs from the DiReCT estimate in terms of setting (CDSS rank list vs RAG retrieval), mechanism (list display vs document surfacing), and corpus (Chinese inpatient vs MIMIC-IV US ICU/ED).</w:t>
      </w:r>
    </w:p>
    <w:p w14:paraId="72F94EE3" w14:textId="77777777" w:rsidR="00C46619" w:rsidRDefault="00C46619" w:rsidP="00C46619">
      <w:pPr>
        <w:pStyle w:val="Heading2"/>
      </w:pPr>
      <w:r>
        <w:t>S3. Validation study agenda</w:t>
      </w:r>
    </w:p>
    <w:p w14:paraId="61546049" w14:textId="77777777" w:rsidR="00C46619" w:rsidRDefault="00C46619" w:rsidP="00C46619">
      <w:pPr>
        <w:spacing w:before="80" w:after="80" w:line="276" w:lineRule="auto"/>
        <w:jc w:val="both"/>
      </w:pPr>
      <w:r>
        <w:rPr>
          <w:color w:val="000000"/>
        </w:rPr>
        <w:t>The following prospective studies will most effectively address the structural uncertainties identified in Table 5:</w:t>
      </w:r>
    </w:p>
    <w:p w14:paraId="7CFEBA3D" w14:textId="77777777" w:rsidR="00C46619" w:rsidRDefault="00C46619" w:rsidP="00C46619">
      <w:pPr>
        <w:spacing w:before="80" w:after="80" w:line="276" w:lineRule="auto"/>
        <w:jc w:val="both"/>
      </w:pPr>
      <w:r>
        <w:rPr>
          <w:color w:val="000000"/>
        </w:rPr>
        <w:t>Priority 1 (surrogate link): Conduct a case-level linkage study in a clinical setting using a RAG-assisted diagnostic tool. Measure MRR@10 (or a similar metric) along with diagnostic accuracy outcomes such as consistency with discharge diagnosis, time to correct diagnosis, or diagnostic error rate on the same clinical encounters. The study can be prospective or retrospective with logged retrieval data, as long as retrieval exposure and outcome timing are sufficiently clear for causal inference. A prospective before-and-after or stepped-wedge design provides the clearest identification. Power calculation: To detect a 5 percentage-point change in diagnostic accuracy, about 200–400 cases are needed at 80% power (α = 0.05, two-sided).</w:t>
      </w:r>
    </w:p>
    <w:p w14:paraId="533BC1AD" w14:textId="77777777" w:rsidR="00C46619" w:rsidRDefault="00C46619" w:rsidP="00C46619">
      <w:pPr>
        <w:spacing w:before="80" w:after="80" w:line="276" w:lineRule="auto"/>
        <w:jc w:val="both"/>
      </w:pPr>
      <w:r>
        <w:rPr>
          <w:color w:val="000000"/>
        </w:rPr>
        <w:t>Priority 2 (deployment prevalence): Conduct an audit of clinical RAG deployments across a sample of institutions. Collect information on the embedding model used, corpus type and structure, participation ratio (a 10-minute automated measurement), and deployment scale (N). This process will replace the constructed parameters p_degraded and p_heterogeneous with empirical priors.</w:t>
      </w:r>
    </w:p>
    <w:p w14:paraId="3681EC14" w14:textId="77777777" w:rsidR="00C46619" w:rsidRDefault="00C46619" w:rsidP="00C46619">
      <w:pPr>
        <w:spacing w:before="80" w:after="80" w:line="276" w:lineRule="auto"/>
        <w:jc w:val="both"/>
      </w:pPr>
      <w:r>
        <w:rPr>
          <w:color w:val="000000"/>
        </w:rPr>
        <w:t>Priority 3 (harm characterization): Perform a controlled measurement of whitening effects on structurally homogeneous clinical samples (e.g., single-institution templated discharge summaries). Apply whitening and measure the change in MRR@10. This will provide an empirical distribution of harm magnitude to replace the constructed ΔMRR = −0.05 estimate.</w:t>
      </w:r>
    </w:p>
    <w:p w14:paraId="314A9A20" w14:textId="77777777" w:rsidR="00C46619" w:rsidRDefault="00C46619" w:rsidP="00C46619">
      <w:pPr>
        <w:pStyle w:val="Heading2"/>
      </w:pPr>
      <w:r>
        <w:t>S4. CHEERS 2022 Reporting Checklist</w:t>
      </w:r>
    </w:p>
    <w:p w14:paraId="160795D2" w14:textId="77777777" w:rsidR="00C46619" w:rsidRDefault="00C46619" w:rsidP="00C46619">
      <w:pPr>
        <w:spacing w:before="60" w:after="80"/>
      </w:pPr>
      <w:r>
        <w:rPr>
          <w:i/>
          <w:iCs/>
          <w:sz w:val="20"/>
          <w:szCs w:val="20"/>
        </w:rPr>
        <w:t xml:space="preserve">Husereau D et al. JAMA 2022;327(1):49–57 </w:t>
      </w:r>
      <w:r>
        <w:rPr>
          <w:i/>
          <w:iCs/>
          <w:sz w:val="20"/>
          <w:szCs w:val="20"/>
        </w:rPr>
        <w:fldChar w:fldCharType="begin">
          <w:fldData xml:space="preserve">PEVuZE5vdGU+PENpdGU+PEF1dGhvcj5IdXNlcmVhdTwvQXV0aG9yPjxZZWFyPjIwMjI8L1llYXI+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</w:fldData>
        </w:fldChar>
      </w:r>
      <w:r>
        <w:rPr>
          <w:i/>
          <w:iCs/>
          <w:sz w:val="20"/>
          <w:szCs w:val="20"/>
        </w:rPr>
        <w:instrText xml:space="preserve"> ADDIN EN.CITE </w:instrText>
      </w:r>
      <w:r>
        <w:rPr>
          <w:i/>
          <w:iCs/>
          <w:sz w:val="20"/>
          <w:szCs w:val="20"/>
        </w:rPr>
        <w:fldChar w:fldCharType="begin">
          <w:fldData xml:space="preserve">PEVuZE5vdGU+PENpdGU+PEF1dGhvcj5IdXNlcmVhdTwvQXV0aG9yPjxZZWFyPjIwMjI8L1llYXI+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</w:fldData>
        </w:fldChar>
      </w:r>
      <w:r>
        <w:rPr>
          <w:i/>
          <w:iCs/>
          <w:sz w:val="20"/>
          <w:szCs w:val="20"/>
        </w:rPr>
        <w:instrText xml:space="preserve"> ADDIN EN.CITE.DATA </w:instrText>
      </w:r>
      <w:r>
        <w:rPr>
          <w:i/>
          <w:iCs/>
          <w:sz w:val="20"/>
          <w:szCs w:val="20"/>
        </w:rPr>
      </w:r>
      <w:r>
        <w:rPr>
          <w:i/>
          <w:iCs/>
          <w:sz w:val="20"/>
          <w:szCs w:val="20"/>
        </w:rPr>
        <w:fldChar w:fldCharType="end"/>
      </w:r>
      <w:r>
        <w:rPr>
          <w:i/>
          <w:iCs/>
          <w:sz w:val="20"/>
          <w:szCs w:val="20"/>
        </w:rPr>
      </w:r>
      <w:r>
        <w:rPr>
          <w:i/>
          <w:iCs/>
          <w:sz w:val="20"/>
          <w:szCs w:val="20"/>
        </w:rPr>
        <w:fldChar w:fldCharType="separate"/>
      </w:r>
      <w:r>
        <w:rPr>
          <w:i/>
          <w:iCs/>
          <w:noProof/>
          <w:sz w:val="20"/>
          <w:szCs w:val="20"/>
        </w:rPr>
        <w:t>[20]</w:t>
      </w:r>
      <w:r>
        <w:rPr>
          <w:i/>
          <w:iCs/>
          <w:sz w:val="20"/>
          <w:szCs w:val="20"/>
        </w:rPr>
        <w:fldChar w:fldCharType="end"/>
      </w:r>
      <w:r>
        <w:rPr>
          <w:i/>
          <w:iCs/>
          <w:sz w:val="20"/>
          <w:szCs w:val="20"/>
        </w:rPr>
        <w: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3"/>
        <w:gridCol w:w="2784"/>
        <w:gridCol w:w="3794"/>
        <w:gridCol w:w="1985"/>
      </w:tblGrid>
      <w:tr w:rsidR="00C46619" w14:paraId="46B6D23B" w14:textId="77777777" w:rsidTr="00236EA1">
        <w:trPr>
          <w:tblHeader/>
        </w:trPr>
        <w:tc>
          <w:tcPr>
            <w:tcW w:w="4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3C0B44BF" w14:textId="77777777" w:rsidR="00C46619" w:rsidRDefault="00C46619" w:rsidP="00236EA1">
            <w:pPr>
              <w:jc w:val="center"/>
            </w:pPr>
            <w:r>
              <w:rPr>
                <w:b/>
                <w:bCs/>
                <w:color w:val="FFFFFF"/>
                <w:sz w:val="20"/>
                <w:szCs w:val="20"/>
              </w:rPr>
              <w:lastRenderedPageBreak/>
              <w:t>#</w:t>
            </w:r>
          </w:p>
        </w:tc>
        <w:tc>
          <w:tcPr>
            <w:tcW w:w="28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17593AB7" w14:textId="77777777" w:rsidR="00C46619" w:rsidRDefault="00C46619" w:rsidP="00236EA1">
            <w:r>
              <w:rPr>
                <w:b/>
                <w:bCs/>
                <w:color w:val="FFFFFF"/>
                <w:sz w:val="20"/>
                <w:szCs w:val="20"/>
              </w:rPr>
              <w:t>CHEERS item</w:t>
            </w:r>
          </w:p>
        </w:tc>
        <w:tc>
          <w:tcPr>
            <w:tcW w:w="3826"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552E4476" w14:textId="77777777" w:rsidR="00C46619" w:rsidRDefault="00C46619" w:rsidP="00236EA1">
            <w:r>
              <w:rPr>
                <w:b/>
                <w:bCs/>
                <w:color w:val="FFFFFF"/>
                <w:sz w:val="20"/>
                <w:szCs w:val="20"/>
              </w:rPr>
              <w:t>Where reported</w:t>
            </w:r>
          </w:p>
        </w:tc>
        <w:tc>
          <w:tcPr>
            <w:tcW w:w="2000" w:type="dxa"/>
            <w:tcBorders>
              <w:top w:val="single" w:sz="6" w:space="0" w:color="2E4E7A"/>
              <w:left w:val="single" w:sz="6" w:space="0" w:color="2E4E7A"/>
              <w:bottom w:val="single" w:sz="6" w:space="0" w:color="2E4E7A"/>
              <w:right w:val="single" w:sz="6" w:space="0" w:color="2E4E7A"/>
            </w:tcBorders>
            <w:shd w:val="clear" w:color="auto" w:fill="1F3864"/>
            <w:tcMar>
              <w:top w:w="80" w:type="dxa"/>
              <w:left w:w="120" w:type="dxa"/>
              <w:bottom w:w="80" w:type="dxa"/>
              <w:right w:w="120" w:type="dxa"/>
            </w:tcMar>
            <w:vAlign w:val="center"/>
          </w:tcPr>
          <w:p w14:paraId="6B0555BB" w14:textId="77777777" w:rsidR="00C46619" w:rsidRDefault="00C46619" w:rsidP="00236EA1">
            <w:r>
              <w:rPr>
                <w:b/>
                <w:bCs/>
                <w:color w:val="FFFFFF"/>
                <w:sz w:val="20"/>
                <w:szCs w:val="20"/>
              </w:rPr>
              <w:t>Section</w:t>
            </w:r>
          </w:p>
        </w:tc>
      </w:tr>
      <w:tr w:rsidR="00C46619" w14:paraId="18518D4B"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EABFF77" w14:textId="77777777" w:rsidR="00C46619" w:rsidRDefault="00C46619" w:rsidP="00236EA1">
            <w:pPr>
              <w:jc w:val="center"/>
            </w:pPr>
            <w:r>
              <w:rPr>
                <w:color w:val="000000"/>
                <w:sz w:val="20"/>
                <w:szCs w:val="20"/>
              </w:rPr>
              <w:t>1</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77476DC" w14:textId="77777777" w:rsidR="00C46619" w:rsidRDefault="00C46619" w:rsidP="00236EA1">
            <w:r>
              <w:rPr>
                <w:color w:val="000000"/>
                <w:sz w:val="20"/>
                <w:szCs w:val="20"/>
              </w:rPr>
              <w:t>Title — identify as economic evaluation, describe interventions</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A00AEDD" w14:textId="77777777" w:rsidR="00C46619" w:rsidRDefault="00C46619" w:rsidP="00236EA1">
            <w:r>
              <w:rPr>
                <w:color w:val="000000"/>
                <w:sz w:val="20"/>
                <w:szCs w:val="20"/>
              </w:rPr>
              <w:t>Title: “early economic evaluation… a decision-uncertainty framework”</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7411F0F" w14:textId="77777777" w:rsidR="00C46619" w:rsidRDefault="00C46619" w:rsidP="00236EA1">
            <w:pPr>
              <w:jc w:val="center"/>
            </w:pPr>
            <w:r>
              <w:rPr>
                <w:color w:val="000000"/>
                <w:sz w:val="20"/>
                <w:szCs w:val="20"/>
              </w:rPr>
              <w:t>Title</w:t>
            </w:r>
          </w:p>
        </w:tc>
      </w:tr>
      <w:tr w:rsidR="00C46619" w14:paraId="20A081B2"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BA6400E" w14:textId="77777777" w:rsidR="00C46619" w:rsidRDefault="00C46619" w:rsidP="00236EA1">
            <w:pPr>
              <w:jc w:val="center"/>
            </w:pPr>
            <w:r>
              <w:rPr>
                <w:color w:val="000000"/>
                <w:sz w:val="20"/>
                <w:szCs w:val="20"/>
              </w:rPr>
              <w:t>2</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3F40958" w14:textId="77777777" w:rsidR="00C46619" w:rsidRDefault="00C46619" w:rsidP="00236EA1">
            <w:r>
              <w:rPr>
                <w:color w:val="000000"/>
                <w:sz w:val="20"/>
                <w:szCs w:val="20"/>
              </w:rPr>
              <w:t>Abstract structured summary</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417278C" w14:textId="77777777" w:rsidR="00C46619" w:rsidRDefault="00C46619" w:rsidP="00236EA1">
            <w:r>
              <w:rPr>
                <w:color w:val="000000"/>
                <w:sz w:val="20"/>
                <w:szCs w:val="20"/>
              </w:rPr>
              <w:t>Structured abstract: Background, Objective, Methods, Results, Conclusions</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754F0A3" w14:textId="77777777" w:rsidR="00C46619" w:rsidRDefault="00C46619" w:rsidP="00236EA1">
            <w:pPr>
              <w:jc w:val="center"/>
            </w:pPr>
            <w:r>
              <w:rPr>
                <w:color w:val="000000"/>
                <w:sz w:val="20"/>
                <w:szCs w:val="20"/>
              </w:rPr>
              <w:t>Abstract</w:t>
            </w:r>
          </w:p>
        </w:tc>
      </w:tr>
      <w:tr w:rsidR="00C46619" w14:paraId="0B9591C2"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89C5365" w14:textId="77777777" w:rsidR="00C46619" w:rsidRDefault="00C46619" w:rsidP="00236EA1">
            <w:pPr>
              <w:jc w:val="center"/>
            </w:pPr>
            <w:r>
              <w:rPr>
                <w:color w:val="000000"/>
                <w:sz w:val="20"/>
                <w:szCs w:val="20"/>
              </w:rPr>
              <w:t>3</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0381957" w14:textId="77777777" w:rsidR="00C46619" w:rsidRDefault="00C46619" w:rsidP="00236EA1">
            <w:r>
              <w:rPr>
                <w:color w:val="000000"/>
                <w:sz w:val="20"/>
                <w:szCs w:val="20"/>
              </w:rPr>
              <w:t>Background and objectives</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330FBAA" w14:textId="77777777" w:rsidR="00C46619" w:rsidRDefault="00C46619" w:rsidP="00236EA1">
            <w:r>
              <w:rPr>
                <w:color w:val="000000"/>
                <w:sz w:val="20"/>
                <w:szCs w:val="20"/>
              </w:rPr>
              <w:t>Section 1 (framing as HEOR problem) and Section 2 (three objective questions)</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9339987" w14:textId="77777777" w:rsidR="00C46619" w:rsidRDefault="00C46619" w:rsidP="00236EA1">
            <w:pPr>
              <w:jc w:val="center"/>
            </w:pPr>
            <w:r>
              <w:rPr>
                <w:color w:val="000000"/>
                <w:sz w:val="20"/>
                <w:szCs w:val="20"/>
              </w:rPr>
              <w:t>S1–2</w:t>
            </w:r>
          </w:p>
        </w:tc>
      </w:tr>
      <w:tr w:rsidR="00C46619" w14:paraId="48A80B6F"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4057E6C" w14:textId="77777777" w:rsidR="00C46619" w:rsidRDefault="00C46619" w:rsidP="00236EA1">
            <w:pPr>
              <w:jc w:val="center"/>
            </w:pPr>
            <w:r>
              <w:rPr>
                <w:color w:val="000000"/>
                <w:sz w:val="20"/>
                <w:szCs w:val="20"/>
              </w:rPr>
              <w:t>4</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1CF9886" w14:textId="77777777" w:rsidR="00C46619" w:rsidRDefault="00C46619" w:rsidP="00236EA1">
            <w:r>
              <w:rPr>
                <w:color w:val="000000"/>
                <w:sz w:val="20"/>
                <w:szCs w:val="20"/>
              </w:rPr>
              <w:t>Target population and setting</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741B3BB8" w14:textId="77777777" w:rsidR="00C46619" w:rsidRDefault="00C46619" w:rsidP="00236EA1">
            <w:r>
              <w:rPr>
                <w:color w:val="000000"/>
                <w:sz w:val="20"/>
                <w:szCs w:val="20"/>
              </w:rPr>
              <w:t>Section 3.1: screened clinical RAG deployments; Norwegian healthcare system</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3CF0963" w14:textId="77777777" w:rsidR="00C46619" w:rsidRDefault="00C46619" w:rsidP="00236EA1">
            <w:pPr>
              <w:jc w:val="center"/>
            </w:pPr>
            <w:r>
              <w:rPr>
                <w:color w:val="000000"/>
                <w:sz w:val="20"/>
                <w:szCs w:val="20"/>
              </w:rPr>
              <w:t>S3.1</w:t>
            </w:r>
          </w:p>
        </w:tc>
      </w:tr>
      <w:tr w:rsidR="00C46619" w14:paraId="018E375B"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1CB6D73" w14:textId="77777777" w:rsidR="00C46619" w:rsidRDefault="00C46619" w:rsidP="00236EA1">
            <w:pPr>
              <w:jc w:val="center"/>
            </w:pPr>
            <w:r>
              <w:rPr>
                <w:color w:val="000000"/>
                <w:sz w:val="20"/>
                <w:szCs w:val="20"/>
              </w:rPr>
              <w:t>5</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432C399" w14:textId="77777777" w:rsidR="00C46619" w:rsidRDefault="00C46619" w:rsidP="00236EA1">
            <w:r>
              <w:rPr>
                <w:color w:val="000000"/>
                <w:sz w:val="20"/>
                <w:szCs w:val="20"/>
              </w:rPr>
              <w:t>Comparators with rationale</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A8690EF" w14:textId="77777777" w:rsidR="00C46619" w:rsidRDefault="00C46619" w:rsidP="00236EA1">
            <w:r>
              <w:rPr>
                <w:color w:val="000000"/>
                <w:sz w:val="20"/>
                <w:szCs w:val="20"/>
              </w:rPr>
              <w:t>Section 2 and Supplement S1: whitening vs no correction primary; fine-tuning supplementary</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772FE30" w14:textId="77777777" w:rsidR="00C46619" w:rsidRDefault="00C46619" w:rsidP="00236EA1">
            <w:pPr>
              <w:jc w:val="center"/>
            </w:pPr>
            <w:r>
              <w:rPr>
                <w:color w:val="000000"/>
                <w:sz w:val="20"/>
                <w:szCs w:val="20"/>
              </w:rPr>
              <w:t>S2, S1</w:t>
            </w:r>
          </w:p>
        </w:tc>
      </w:tr>
      <w:tr w:rsidR="00C46619" w14:paraId="24EE3361"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7EE4F36" w14:textId="77777777" w:rsidR="00C46619" w:rsidRDefault="00C46619" w:rsidP="00236EA1">
            <w:pPr>
              <w:jc w:val="center"/>
            </w:pPr>
            <w:r>
              <w:rPr>
                <w:color w:val="000000"/>
                <w:sz w:val="20"/>
                <w:szCs w:val="20"/>
              </w:rPr>
              <w:t>6</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C61AA74" w14:textId="77777777" w:rsidR="00C46619" w:rsidRDefault="00C46619" w:rsidP="00236EA1">
            <w:r>
              <w:rPr>
                <w:color w:val="000000"/>
                <w:sz w:val="20"/>
                <w:szCs w:val="20"/>
              </w:rPr>
              <w:t>Perspective of analysis</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9D4EF4B" w14:textId="77777777" w:rsidR="00C46619" w:rsidRDefault="00C46619" w:rsidP="00236EA1">
            <w:r>
              <w:rPr>
                <w:color w:val="000000"/>
                <w:sz w:val="20"/>
                <w:szCs w:val="20"/>
              </w:rPr>
              <w:t>Section 3.1: healthcare system primary; societal (NPE) scenario in supplement</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28ECF134" w14:textId="77777777" w:rsidR="00C46619" w:rsidRDefault="00C46619" w:rsidP="00236EA1">
            <w:pPr>
              <w:jc w:val="center"/>
            </w:pPr>
            <w:r>
              <w:rPr>
                <w:color w:val="000000"/>
                <w:sz w:val="20"/>
                <w:szCs w:val="20"/>
              </w:rPr>
              <w:t>S3.1, S5</w:t>
            </w:r>
          </w:p>
        </w:tc>
      </w:tr>
      <w:tr w:rsidR="00C46619" w14:paraId="7B4ED2CE"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135E1C2" w14:textId="77777777" w:rsidR="00C46619" w:rsidRDefault="00C46619" w:rsidP="00236EA1">
            <w:pPr>
              <w:jc w:val="center"/>
            </w:pPr>
            <w:r>
              <w:rPr>
                <w:color w:val="000000"/>
                <w:sz w:val="20"/>
                <w:szCs w:val="20"/>
              </w:rPr>
              <w:t>7</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B22C14A" w14:textId="77777777" w:rsidR="00C46619" w:rsidRDefault="00C46619" w:rsidP="00236EA1">
            <w:r>
              <w:rPr>
                <w:color w:val="000000"/>
                <w:sz w:val="20"/>
                <w:szCs w:val="20"/>
              </w:rPr>
              <w:t>Time horizon and discount rate</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F5E30B7" w14:textId="77777777" w:rsidR="00C46619" w:rsidRDefault="00C46619" w:rsidP="00236EA1">
            <w:r>
              <w:rPr>
                <w:color w:val="000000"/>
                <w:sz w:val="20"/>
                <w:szCs w:val="20"/>
              </w:rPr>
              <w:t>Section 3.1: 5-year horizon, 4% (NoMA reference case); 3.0% and 3.5% sensitivity in Supplement S1b</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B7FA7A2" w14:textId="77777777" w:rsidR="00C46619" w:rsidRDefault="00C46619" w:rsidP="00236EA1">
            <w:pPr>
              <w:jc w:val="center"/>
            </w:pPr>
            <w:r>
              <w:rPr>
                <w:color w:val="000000"/>
                <w:sz w:val="20"/>
                <w:szCs w:val="20"/>
              </w:rPr>
              <w:t>S3.1, S1b</w:t>
            </w:r>
          </w:p>
        </w:tc>
      </w:tr>
      <w:tr w:rsidR="00C46619" w14:paraId="2771A82F"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9FA2AB0" w14:textId="77777777" w:rsidR="00C46619" w:rsidRDefault="00C46619" w:rsidP="00236EA1">
            <w:pPr>
              <w:jc w:val="center"/>
            </w:pPr>
            <w:r>
              <w:rPr>
                <w:color w:val="000000"/>
                <w:sz w:val="20"/>
                <w:szCs w:val="20"/>
              </w:rPr>
              <w:t>8</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2D447389" w14:textId="77777777" w:rsidR="00C46619" w:rsidRDefault="00C46619" w:rsidP="00236EA1">
            <w:r>
              <w:rPr>
                <w:color w:val="000000"/>
                <w:sz w:val="20"/>
                <w:szCs w:val="20"/>
              </w:rPr>
              <w:t>Selection of outcomes</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36112131" w14:textId="77777777" w:rsidR="00C46619" w:rsidRDefault="00C46619" w:rsidP="00236EA1">
            <w:r>
              <w:rPr>
                <w:color w:val="000000"/>
                <w:sz w:val="20"/>
                <w:szCs w:val="20"/>
              </w:rPr>
              <w:t>Section 3.1–3.3: ADEs averted, QALYs, ICER, NMB, threshold N*</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A332726" w14:textId="77777777" w:rsidR="00C46619" w:rsidRDefault="00C46619" w:rsidP="00236EA1">
            <w:pPr>
              <w:jc w:val="center"/>
            </w:pPr>
            <w:r>
              <w:rPr>
                <w:color w:val="000000"/>
                <w:sz w:val="20"/>
                <w:szCs w:val="20"/>
              </w:rPr>
              <w:t>S3.1–3.3</w:t>
            </w:r>
          </w:p>
        </w:tc>
      </w:tr>
      <w:tr w:rsidR="00C46619" w14:paraId="57D0C6D0"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E4DE293" w14:textId="77777777" w:rsidR="00C46619" w:rsidRDefault="00C46619" w:rsidP="00236EA1">
            <w:pPr>
              <w:jc w:val="center"/>
            </w:pPr>
            <w:r>
              <w:rPr>
                <w:color w:val="000000"/>
                <w:sz w:val="20"/>
                <w:szCs w:val="20"/>
              </w:rPr>
              <w:t>9</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CF9F087" w14:textId="77777777" w:rsidR="00C46619" w:rsidRDefault="00C46619" w:rsidP="00236EA1">
            <w:r>
              <w:rPr>
                <w:color w:val="000000"/>
                <w:sz w:val="20"/>
                <w:szCs w:val="20"/>
              </w:rPr>
              <w:t>Measurement of outcomes</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B8D3DB1" w14:textId="77777777" w:rsidR="00C46619" w:rsidRDefault="00C46619" w:rsidP="00236EA1">
            <w:r>
              <w:rPr>
                <w:color w:val="000000"/>
                <w:sz w:val="20"/>
                <w:szCs w:val="20"/>
              </w:rPr>
              <w:t>Section 3.3: MRR@10 from Mikkelsen 2026 [7]; α estimated from DiReCT retrieval experiment (MIMIC-IV-Ext-DiReCT) [18]; Tao et al. 2020 [14] retained as conservative scenario</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4847031" w14:textId="77777777" w:rsidR="00C46619" w:rsidRDefault="00C46619" w:rsidP="00236EA1">
            <w:pPr>
              <w:jc w:val="center"/>
            </w:pPr>
            <w:r>
              <w:rPr>
                <w:color w:val="000000"/>
                <w:sz w:val="20"/>
                <w:szCs w:val="20"/>
              </w:rPr>
              <w:t>S3.3, Suppl S2</w:t>
            </w:r>
          </w:p>
        </w:tc>
      </w:tr>
      <w:tr w:rsidR="00C46619" w14:paraId="402E2338"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7F68108C" w14:textId="77777777" w:rsidR="00C46619" w:rsidRDefault="00C46619" w:rsidP="00236EA1">
            <w:pPr>
              <w:jc w:val="center"/>
            </w:pPr>
            <w:r>
              <w:rPr>
                <w:color w:val="000000"/>
                <w:sz w:val="20"/>
                <w:szCs w:val="20"/>
              </w:rPr>
              <w:t>10</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64FB5C8" w14:textId="77777777" w:rsidR="00C46619" w:rsidRDefault="00C46619" w:rsidP="00236EA1">
            <w:r>
              <w:rPr>
                <w:color w:val="000000"/>
                <w:sz w:val="20"/>
                <w:szCs w:val="20"/>
              </w:rPr>
              <w:t>Valuation of outcomes</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AFD9B4A" w14:textId="77777777" w:rsidR="00C46619" w:rsidRDefault="00C46619" w:rsidP="00236EA1">
            <w:r>
              <w:rPr>
                <w:color w:val="000000"/>
                <w:sz w:val="20"/>
                <w:szCs w:val="20"/>
              </w:rPr>
              <w:t>Section 3.3: QALY loss constructed; surrogate uncertainty formally characterised</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7E3B335B" w14:textId="77777777" w:rsidR="00C46619" w:rsidRDefault="00C46619" w:rsidP="00236EA1">
            <w:pPr>
              <w:jc w:val="center"/>
            </w:pPr>
            <w:r>
              <w:rPr>
                <w:color w:val="000000"/>
                <w:sz w:val="20"/>
                <w:szCs w:val="20"/>
              </w:rPr>
              <w:t>S3.3, T1</w:t>
            </w:r>
          </w:p>
        </w:tc>
      </w:tr>
      <w:tr w:rsidR="00C46619" w14:paraId="5CC08F32"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509EA3E" w14:textId="77777777" w:rsidR="00C46619" w:rsidRDefault="00C46619" w:rsidP="00236EA1">
            <w:pPr>
              <w:jc w:val="center"/>
            </w:pPr>
            <w:r>
              <w:rPr>
                <w:color w:val="000000"/>
                <w:sz w:val="20"/>
                <w:szCs w:val="20"/>
              </w:rPr>
              <w:t>11</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86C30A1" w14:textId="77777777" w:rsidR="00C46619" w:rsidRDefault="00C46619" w:rsidP="00236EA1">
            <w:r>
              <w:rPr>
                <w:color w:val="000000"/>
                <w:sz w:val="20"/>
                <w:szCs w:val="20"/>
              </w:rPr>
              <w:t>Measurement and valuation of resources</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9925DBD" w14:textId="77777777" w:rsidR="00C46619" w:rsidRDefault="00C46619" w:rsidP="00236EA1">
            <w:r>
              <w:rPr>
                <w:color w:val="000000"/>
                <w:sz w:val="20"/>
                <w:szCs w:val="20"/>
              </w:rPr>
              <w:t>Table 1: technology costs from engineering estimates and AWS pricing; ADE costs from DRG + NPE</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F22FFEA" w14:textId="77777777" w:rsidR="00C46619" w:rsidRDefault="00C46619" w:rsidP="00236EA1">
            <w:pPr>
              <w:jc w:val="center"/>
            </w:pPr>
            <w:r>
              <w:rPr>
                <w:color w:val="000000"/>
                <w:sz w:val="20"/>
                <w:szCs w:val="20"/>
              </w:rPr>
              <w:t>T1</w:t>
            </w:r>
          </w:p>
        </w:tc>
      </w:tr>
      <w:tr w:rsidR="00C46619" w14:paraId="3D795737"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2424D2D" w14:textId="77777777" w:rsidR="00C46619" w:rsidRDefault="00C46619" w:rsidP="00236EA1">
            <w:pPr>
              <w:jc w:val="center"/>
            </w:pPr>
            <w:r>
              <w:rPr>
                <w:color w:val="000000"/>
                <w:sz w:val="20"/>
                <w:szCs w:val="20"/>
              </w:rPr>
              <w:t>12</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24979349" w14:textId="77777777" w:rsidR="00C46619" w:rsidRDefault="00C46619" w:rsidP="00236EA1">
            <w:r>
              <w:rPr>
                <w:color w:val="000000"/>
                <w:sz w:val="20"/>
                <w:szCs w:val="20"/>
              </w:rPr>
              <w:t>Currency, price date, conversion</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5FA2C7C" w14:textId="77777777" w:rsidR="00C46619" w:rsidRDefault="00C46619" w:rsidP="00236EA1">
            <w:r>
              <w:rPr>
                <w:color w:val="000000"/>
                <w:sz w:val="20"/>
                <w:szCs w:val="20"/>
              </w:rPr>
              <w:t>EUR; Norwegian context; NPE at 11.50 NOK/EUR</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9899080" w14:textId="77777777" w:rsidR="00C46619" w:rsidRDefault="00C46619" w:rsidP="00236EA1">
            <w:pPr>
              <w:jc w:val="center"/>
            </w:pPr>
            <w:r>
              <w:rPr>
                <w:color w:val="000000"/>
                <w:sz w:val="20"/>
                <w:szCs w:val="20"/>
              </w:rPr>
              <w:t>S3.1</w:t>
            </w:r>
          </w:p>
        </w:tc>
      </w:tr>
      <w:tr w:rsidR="00C46619" w14:paraId="244389BC"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313B537" w14:textId="77777777" w:rsidR="00C46619" w:rsidRDefault="00C46619" w:rsidP="00236EA1">
            <w:pPr>
              <w:jc w:val="center"/>
            </w:pPr>
            <w:r>
              <w:rPr>
                <w:color w:val="000000"/>
                <w:sz w:val="20"/>
                <w:szCs w:val="20"/>
              </w:rPr>
              <w:t>13</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61BEFD2" w14:textId="77777777" w:rsidR="00C46619" w:rsidRDefault="00C46619" w:rsidP="00236EA1">
            <w:r>
              <w:rPr>
                <w:color w:val="000000"/>
                <w:sz w:val="20"/>
                <w:szCs w:val="20"/>
              </w:rPr>
              <w:t>Rationale for model structure</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8CC3A69" w14:textId="77777777" w:rsidR="00C46619" w:rsidRDefault="00C46619" w:rsidP="00236EA1">
            <w:r>
              <w:rPr>
                <w:color w:val="000000"/>
                <w:sz w:val="20"/>
                <w:szCs w:val="20"/>
              </w:rPr>
              <w:t>Section 3.1: single decision-point justifies decision tree; structural gating described</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DE98FEF" w14:textId="77777777" w:rsidR="00C46619" w:rsidRDefault="00C46619" w:rsidP="00236EA1">
            <w:pPr>
              <w:jc w:val="center"/>
            </w:pPr>
            <w:r>
              <w:rPr>
                <w:color w:val="000000"/>
                <w:sz w:val="20"/>
                <w:szCs w:val="20"/>
              </w:rPr>
              <w:t>S3.1</w:t>
            </w:r>
          </w:p>
        </w:tc>
      </w:tr>
      <w:tr w:rsidR="00C46619" w14:paraId="31083E47"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E07B6D4" w14:textId="77777777" w:rsidR="00C46619" w:rsidRDefault="00C46619" w:rsidP="00236EA1">
            <w:pPr>
              <w:jc w:val="center"/>
            </w:pPr>
            <w:r>
              <w:rPr>
                <w:color w:val="000000"/>
                <w:sz w:val="20"/>
                <w:szCs w:val="20"/>
              </w:rPr>
              <w:t>14</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8FDD270" w14:textId="77777777" w:rsidR="00C46619" w:rsidRDefault="00C46619" w:rsidP="00236EA1">
            <w:r>
              <w:rPr>
                <w:color w:val="000000"/>
                <w:sz w:val="20"/>
                <w:szCs w:val="20"/>
              </w:rPr>
              <w:t>Assumptions</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C7EC9FC" w14:textId="77777777" w:rsidR="00C46619" w:rsidRDefault="00C46619" w:rsidP="00236EA1">
            <w:r>
              <w:rPr>
                <w:color w:val="000000"/>
                <w:sz w:val="20"/>
                <w:szCs w:val="20"/>
              </w:rPr>
              <w:t>Table 1 (parameter notes); Table 5 (structural assumptions)</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717A456" w14:textId="77777777" w:rsidR="00C46619" w:rsidRDefault="00C46619" w:rsidP="00236EA1">
            <w:pPr>
              <w:jc w:val="center"/>
            </w:pPr>
            <w:r>
              <w:rPr>
                <w:color w:val="000000"/>
                <w:sz w:val="20"/>
                <w:szCs w:val="20"/>
              </w:rPr>
              <w:t>T1, T5</w:t>
            </w:r>
          </w:p>
        </w:tc>
      </w:tr>
      <w:tr w:rsidR="00C46619" w14:paraId="529CD7EE"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449E4C3" w14:textId="77777777" w:rsidR="00C46619" w:rsidRDefault="00C46619" w:rsidP="00236EA1">
            <w:pPr>
              <w:jc w:val="center"/>
            </w:pPr>
            <w:r>
              <w:rPr>
                <w:color w:val="000000"/>
                <w:sz w:val="20"/>
                <w:szCs w:val="20"/>
              </w:rPr>
              <w:t>15</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1D9E4CE" w14:textId="77777777" w:rsidR="00C46619" w:rsidRDefault="00C46619" w:rsidP="00236EA1">
            <w:r>
              <w:rPr>
                <w:color w:val="000000"/>
                <w:sz w:val="20"/>
                <w:szCs w:val="20"/>
              </w:rPr>
              <w:t>Analytic methods</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F2B961D" w14:textId="77777777" w:rsidR="00C46619" w:rsidRDefault="00C46619" w:rsidP="00236EA1">
            <w:r>
              <w:rPr>
                <w:color w:val="000000"/>
                <w:sz w:val="20"/>
                <w:szCs w:val="20"/>
              </w:rPr>
              <w:t>Section 3.4–3.5: PSA, one-way SA, threshold analyses, structural uncertainty table</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62ACA3A" w14:textId="77777777" w:rsidR="00C46619" w:rsidRDefault="00C46619" w:rsidP="00236EA1">
            <w:pPr>
              <w:jc w:val="center"/>
            </w:pPr>
            <w:r>
              <w:rPr>
                <w:color w:val="000000"/>
                <w:sz w:val="20"/>
                <w:szCs w:val="20"/>
              </w:rPr>
              <w:t>S3.4–3.5</w:t>
            </w:r>
          </w:p>
        </w:tc>
      </w:tr>
      <w:tr w:rsidR="00C46619" w14:paraId="162336E9"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6149C87" w14:textId="77777777" w:rsidR="00C46619" w:rsidRDefault="00C46619" w:rsidP="00236EA1">
            <w:pPr>
              <w:jc w:val="center"/>
            </w:pPr>
            <w:r>
              <w:rPr>
                <w:color w:val="000000"/>
                <w:sz w:val="20"/>
                <w:szCs w:val="20"/>
              </w:rPr>
              <w:t>16</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3FC5C36E" w14:textId="77777777" w:rsidR="00C46619" w:rsidRDefault="00C46619" w:rsidP="00236EA1">
            <w:r>
              <w:rPr>
                <w:color w:val="000000"/>
                <w:sz w:val="20"/>
                <w:szCs w:val="20"/>
              </w:rPr>
              <w:t>Base-case results</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20E72B61" w14:textId="77777777" w:rsidR="00C46619" w:rsidRDefault="00C46619" w:rsidP="00236EA1">
            <w:r>
              <w:rPr>
                <w:color w:val="000000"/>
                <w:sz w:val="20"/>
                <w:szCs w:val="20"/>
              </w:rPr>
              <w:t>Section 4.1: per-1,000-query primary results</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5F77E89A" w14:textId="77777777" w:rsidR="00C46619" w:rsidRDefault="00C46619" w:rsidP="00236EA1">
            <w:pPr>
              <w:jc w:val="center"/>
            </w:pPr>
            <w:r>
              <w:rPr>
                <w:color w:val="000000"/>
                <w:sz w:val="20"/>
                <w:szCs w:val="20"/>
              </w:rPr>
              <w:t>S4.1, T2</w:t>
            </w:r>
          </w:p>
        </w:tc>
      </w:tr>
      <w:tr w:rsidR="00C46619" w14:paraId="0D1047B0"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FFE4FC0" w14:textId="77777777" w:rsidR="00C46619" w:rsidRDefault="00C46619" w:rsidP="00236EA1">
            <w:pPr>
              <w:jc w:val="center"/>
            </w:pPr>
            <w:r>
              <w:rPr>
                <w:color w:val="000000"/>
                <w:sz w:val="20"/>
                <w:szCs w:val="20"/>
              </w:rPr>
              <w:lastRenderedPageBreak/>
              <w:t>17</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A46610D" w14:textId="77777777" w:rsidR="00C46619" w:rsidRDefault="00C46619" w:rsidP="00236EA1">
            <w:r>
              <w:rPr>
                <w:color w:val="000000"/>
                <w:sz w:val="20"/>
                <w:szCs w:val="20"/>
              </w:rPr>
              <w:t>Uncertainty characterisation</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9060391" w14:textId="77777777" w:rsidR="00C46619" w:rsidRDefault="00C46619" w:rsidP="00236EA1">
            <w:r>
              <w:rPr>
                <w:color w:val="000000"/>
                <w:sz w:val="20"/>
                <w:szCs w:val="20"/>
              </w:rPr>
              <w:t>Section 4.2–4.4: threshold analyses, structural uncertainty table, PSA</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6C3B555" w14:textId="77777777" w:rsidR="00C46619" w:rsidRDefault="00C46619" w:rsidP="00236EA1">
            <w:pPr>
              <w:jc w:val="center"/>
            </w:pPr>
            <w:r>
              <w:rPr>
                <w:color w:val="000000"/>
                <w:sz w:val="20"/>
                <w:szCs w:val="20"/>
              </w:rPr>
              <w:t>S4.2–4.4, T3–5</w:t>
            </w:r>
          </w:p>
        </w:tc>
      </w:tr>
      <w:tr w:rsidR="00C46619" w14:paraId="477C5C5F"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49ADB31" w14:textId="77777777" w:rsidR="00C46619" w:rsidRDefault="00C46619" w:rsidP="00236EA1">
            <w:pPr>
              <w:jc w:val="center"/>
            </w:pPr>
            <w:r>
              <w:rPr>
                <w:color w:val="000000"/>
                <w:sz w:val="20"/>
                <w:szCs w:val="20"/>
              </w:rPr>
              <w:t>18</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3D7BFBF" w14:textId="77777777" w:rsidR="00C46619" w:rsidRDefault="00C46619" w:rsidP="00236EA1">
            <w:r>
              <w:rPr>
                <w:color w:val="000000"/>
                <w:sz w:val="20"/>
                <w:szCs w:val="20"/>
              </w:rPr>
              <w:t>Heterogeneity</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6E3A6CE" w14:textId="77777777" w:rsidR="00C46619" w:rsidRDefault="00C46619" w:rsidP="00236EA1">
            <w:r>
              <w:rPr>
                <w:color w:val="000000"/>
                <w:sz w:val="20"/>
                <w:szCs w:val="20"/>
              </w:rPr>
              <w:t>Section 3.1: corpus heterogeneity as structural gate; deployment scale scenarios</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6682EAF3" w14:textId="77777777" w:rsidR="00C46619" w:rsidRDefault="00C46619" w:rsidP="00236EA1">
            <w:pPr>
              <w:jc w:val="center"/>
            </w:pPr>
            <w:r>
              <w:rPr>
                <w:color w:val="000000"/>
                <w:sz w:val="20"/>
                <w:szCs w:val="20"/>
              </w:rPr>
              <w:t>S3.1, T4</w:t>
            </w:r>
          </w:p>
        </w:tc>
      </w:tr>
      <w:tr w:rsidR="00C46619" w14:paraId="13EE85FE"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8F0782A" w14:textId="77777777" w:rsidR="00C46619" w:rsidRDefault="00C46619" w:rsidP="00236EA1">
            <w:pPr>
              <w:jc w:val="center"/>
            </w:pPr>
            <w:r>
              <w:rPr>
                <w:color w:val="000000"/>
                <w:sz w:val="20"/>
                <w:szCs w:val="20"/>
              </w:rPr>
              <w:t>19</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C3E99F5" w14:textId="77777777" w:rsidR="00C46619" w:rsidRDefault="00C46619" w:rsidP="00236EA1">
            <w:r>
              <w:rPr>
                <w:color w:val="000000"/>
                <w:sz w:val="20"/>
                <w:szCs w:val="20"/>
              </w:rPr>
              <w:t>Limitations</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8A51668" w14:textId="77777777" w:rsidR="00C46619" w:rsidRDefault="00C46619" w:rsidP="00236EA1">
            <w:r>
              <w:rPr>
                <w:color w:val="000000"/>
                <w:sz w:val="20"/>
                <w:szCs w:val="20"/>
              </w:rPr>
              <w:t>Section 5.3: five limitations; dominant structural uncertainty explicitly flagged</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0597BC8" w14:textId="77777777" w:rsidR="00C46619" w:rsidRDefault="00C46619" w:rsidP="00236EA1">
            <w:pPr>
              <w:jc w:val="center"/>
            </w:pPr>
            <w:r>
              <w:rPr>
                <w:color w:val="000000"/>
                <w:sz w:val="20"/>
                <w:szCs w:val="20"/>
              </w:rPr>
              <w:t>S5.3</w:t>
            </w:r>
          </w:p>
        </w:tc>
      </w:tr>
      <w:tr w:rsidR="00C46619" w14:paraId="338CE0F6"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0972F0D" w14:textId="77777777" w:rsidR="00C46619" w:rsidRDefault="00C46619" w:rsidP="00236EA1">
            <w:pPr>
              <w:jc w:val="center"/>
            </w:pPr>
            <w:r>
              <w:rPr>
                <w:color w:val="000000"/>
                <w:sz w:val="20"/>
                <w:szCs w:val="20"/>
              </w:rPr>
              <w:t>20</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2F4CE08" w14:textId="77777777" w:rsidR="00C46619" w:rsidRDefault="00C46619" w:rsidP="00236EA1">
            <w:r>
              <w:rPr>
                <w:color w:val="000000"/>
                <w:sz w:val="20"/>
                <w:szCs w:val="20"/>
              </w:rPr>
              <w:t>Summary of findings</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490C740" w14:textId="77777777" w:rsidR="00C46619" w:rsidRDefault="00C46619" w:rsidP="00236EA1">
            <w:r>
              <w:rPr>
                <w:color w:val="000000"/>
                <w:sz w:val="20"/>
                <w:szCs w:val="20"/>
              </w:rPr>
              <w:t>Section 5.1 and 6: VoI framing; threshold structure; evidence priorities</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1389A86" w14:textId="77777777" w:rsidR="00C46619" w:rsidRDefault="00C46619" w:rsidP="00236EA1">
            <w:pPr>
              <w:jc w:val="center"/>
            </w:pPr>
            <w:r>
              <w:rPr>
                <w:color w:val="000000"/>
                <w:sz w:val="20"/>
                <w:szCs w:val="20"/>
              </w:rPr>
              <w:t>S5.1, S6</w:t>
            </w:r>
          </w:p>
        </w:tc>
      </w:tr>
      <w:tr w:rsidR="00C46619" w14:paraId="51F1B430"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E9F0333" w14:textId="77777777" w:rsidR="00C46619" w:rsidRDefault="00C46619" w:rsidP="00236EA1">
            <w:pPr>
              <w:jc w:val="center"/>
            </w:pPr>
            <w:r>
              <w:rPr>
                <w:color w:val="000000"/>
                <w:sz w:val="20"/>
                <w:szCs w:val="20"/>
              </w:rPr>
              <w:t>21</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54AA074" w14:textId="77777777" w:rsidR="00C46619" w:rsidRDefault="00C46619" w:rsidP="00236EA1">
            <w:r>
              <w:rPr>
                <w:color w:val="000000"/>
                <w:sz w:val="20"/>
                <w:szCs w:val="20"/>
              </w:rPr>
              <w:t>Comparisons with literature</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AFA75AE" w14:textId="77777777" w:rsidR="00C46619" w:rsidRDefault="00C46619" w:rsidP="00236EA1">
            <w:r>
              <w:rPr>
                <w:color w:val="000000"/>
                <w:sz w:val="20"/>
                <w:szCs w:val="20"/>
              </w:rPr>
              <w:t>Section 5.2: VoI methodology comparison; structural vs parameter uncertainty framing</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58171A7" w14:textId="77777777" w:rsidR="00C46619" w:rsidRDefault="00C46619" w:rsidP="00236EA1">
            <w:pPr>
              <w:jc w:val="center"/>
            </w:pPr>
            <w:r>
              <w:rPr>
                <w:color w:val="000000"/>
                <w:sz w:val="20"/>
                <w:szCs w:val="20"/>
              </w:rPr>
              <w:t>S5.2</w:t>
            </w:r>
          </w:p>
        </w:tc>
      </w:tr>
      <w:tr w:rsidR="00C46619" w14:paraId="7B893EDF"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09A68D5" w14:textId="77777777" w:rsidR="00C46619" w:rsidRDefault="00C46619" w:rsidP="00236EA1">
            <w:pPr>
              <w:jc w:val="center"/>
            </w:pPr>
            <w:r>
              <w:rPr>
                <w:color w:val="000000"/>
                <w:sz w:val="20"/>
                <w:szCs w:val="20"/>
              </w:rPr>
              <w:t>22</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7EB49395" w14:textId="77777777" w:rsidR="00C46619" w:rsidRDefault="00C46619" w:rsidP="00236EA1">
            <w:r>
              <w:rPr>
                <w:color w:val="000000"/>
                <w:sz w:val="20"/>
                <w:szCs w:val="20"/>
              </w:rPr>
              <w:t>Implications for policy and research</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708EC405" w14:textId="77777777" w:rsidR="00C46619" w:rsidRDefault="00C46619" w:rsidP="00236EA1">
            <w:r>
              <w:rPr>
                <w:color w:val="000000"/>
                <w:sz w:val="20"/>
                <w:szCs w:val="20"/>
              </w:rPr>
              <w:t>Section 5.4 and Supplement S3: evidence priorities and study designs</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3002EEA0" w14:textId="77777777" w:rsidR="00C46619" w:rsidRDefault="00C46619" w:rsidP="00236EA1">
            <w:pPr>
              <w:jc w:val="center"/>
            </w:pPr>
            <w:r>
              <w:rPr>
                <w:color w:val="000000"/>
                <w:sz w:val="20"/>
                <w:szCs w:val="20"/>
              </w:rPr>
              <w:t>S5.4, Suppl S3</w:t>
            </w:r>
          </w:p>
        </w:tc>
      </w:tr>
      <w:tr w:rsidR="00C46619" w14:paraId="362884AB"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B3DED8B" w14:textId="77777777" w:rsidR="00C46619" w:rsidRDefault="00C46619" w:rsidP="00236EA1">
            <w:pPr>
              <w:jc w:val="center"/>
            </w:pPr>
            <w:r>
              <w:rPr>
                <w:color w:val="000000"/>
                <w:sz w:val="20"/>
                <w:szCs w:val="20"/>
              </w:rPr>
              <w:t>23</w:t>
            </w:r>
          </w:p>
        </w:tc>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1CEC323" w14:textId="77777777" w:rsidR="00C46619" w:rsidRDefault="00C46619" w:rsidP="00236EA1">
            <w:r>
              <w:rPr>
                <w:color w:val="000000"/>
                <w:sz w:val="20"/>
                <w:szCs w:val="20"/>
              </w:rPr>
              <w:t>Source of funding</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4210729" w14:textId="77777777" w:rsidR="00C46619" w:rsidRDefault="00C46619" w:rsidP="00236EA1">
            <w:r>
              <w:rPr>
                <w:color w:val="000000"/>
                <w:sz w:val="20"/>
                <w:szCs w:val="20"/>
              </w:rPr>
              <w:t>Declarations: no specific funding</w:t>
            </w:r>
          </w:p>
        </w:tc>
        <w:tc>
          <w:tcPr>
            <w:tcW w:w="2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21C63AC" w14:textId="77777777" w:rsidR="00C46619" w:rsidRDefault="00C46619" w:rsidP="00236EA1">
            <w:pPr>
              <w:jc w:val="center"/>
            </w:pPr>
            <w:r>
              <w:rPr>
                <w:color w:val="000000"/>
                <w:sz w:val="20"/>
                <w:szCs w:val="20"/>
              </w:rPr>
              <w:t>Decl.</w:t>
            </w:r>
          </w:p>
        </w:tc>
      </w:tr>
      <w:tr w:rsidR="00C46619" w14:paraId="5203ED24" w14:textId="77777777" w:rsidTr="00236EA1">
        <w:tc>
          <w:tcPr>
            <w:tcW w:w="4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4B765D07" w14:textId="77777777" w:rsidR="00C46619" w:rsidRDefault="00C46619" w:rsidP="00236EA1">
            <w:pPr>
              <w:jc w:val="center"/>
            </w:pPr>
            <w:r>
              <w:rPr>
                <w:color w:val="000000"/>
                <w:sz w:val="20"/>
                <w:szCs w:val="20"/>
              </w:rPr>
              <w:t>24</w:t>
            </w:r>
          </w:p>
        </w:tc>
        <w:tc>
          <w:tcPr>
            <w:tcW w:w="28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6DBA545" w14:textId="77777777" w:rsidR="00C46619" w:rsidRDefault="00C46619" w:rsidP="00236EA1">
            <w:r>
              <w:rPr>
                <w:color w:val="000000"/>
                <w:sz w:val="20"/>
                <w:szCs w:val="20"/>
              </w:rPr>
              <w:t>Conflicts of interest</w:t>
            </w:r>
          </w:p>
        </w:tc>
        <w:tc>
          <w:tcPr>
            <w:tcW w:w="3826"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036005BD" w14:textId="77777777" w:rsidR="00C46619" w:rsidRDefault="00C46619" w:rsidP="00236EA1">
            <w:r>
              <w:rPr>
                <w:color w:val="000000"/>
                <w:sz w:val="20"/>
                <w:szCs w:val="20"/>
              </w:rPr>
              <w:t>Declarations: AlgiPharma has no related commercial interests</w:t>
            </w:r>
          </w:p>
        </w:tc>
        <w:tc>
          <w:tcPr>
            <w:tcW w:w="2000" w:type="dxa"/>
            <w:tcBorders>
              <w:top w:val="single" w:sz="4" w:space="0" w:color="CCCCCC"/>
              <w:left w:val="single" w:sz="4" w:space="0" w:color="CCCCCC"/>
              <w:bottom w:val="single" w:sz="4" w:space="0" w:color="CCCCCC"/>
              <w:right w:val="single" w:sz="4" w:space="0" w:color="CCCCCC"/>
            </w:tcBorders>
            <w:shd w:val="clear" w:color="auto" w:fill="F5F7FA"/>
            <w:tcMar>
              <w:top w:w="80" w:type="dxa"/>
              <w:left w:w="120" w:type="dxa"/>
              <w:bottom w:w="80" w:type="dxa"/>
              <w:right w:w="120" w:type="dxa"/>
            </w:tcMar>
            <w:vAlign w:val="center"/>
          </w:tcPr>
          <w:p w14:paraId="15C8C395" w14:textId="77777777" w:rsidR="00C46619" w:rsidRDefault="00C46619" w:rsidP="00236EA1">
            <w:pPr>
              <w:jc w:val="center"/>
            </w:pPr>
            <w:r>
              <w:rPr>
                <w:color w:val="000000"/>
                <w:sz w:val="20"/>
                <w:szCs w:val="20"/>
              </w:rPr>
              <w:t>Decl.</w:t>
            </w:r>
          </w:p>
        </w:tc>
      </w:tr>
    </w:tbl>
    <w:p w14:paraId="7BAD58E3" w14:textId="77777777" w:rsidR="00C46619" w:rsidRDefault="00C46619" w:rsidP="00C46619"/>
    <w:p w14:paraId="4438025D" w14:textId="77777777" w:rsidR="00C46619" w:rsidRDefault="00C46619" w:rsidP="00C46619"/>
    <w:p w14:paraId="33BF740A" w14:textId="77777777" w:rsidR="00C46619" w:rsidRDefault="00C46619" w:rsidP="00C46619"/>
    <w:p w14:paraId="1766D297" w14:textId="77777777" w:rsidR="00DE6AE2" w:rsidRDefault="00DE6AE2"/>
    <w:sectPr w:rsidR="00DE6AE2" w:rsidSect="00C46619">
      <w:footerReference w:type="even" r:id="rId4"/>
      <w:footerReference w:type="default" r:id="rId5"/>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45972938"/>
      <w:docPartObj>
        <w:docPartGallery w:val="Page Numbers (Bottom of Page)"/>
        <w:docPartUnique/>
      </w:docPartObj>
    </w:sdtPr>
    <w:sdtContent>
      <w:p w14:paraId="52D37DB2" w14:textId="77777777" w:rsidR="00C46619" w:rsidRDefault="00C46619" w:rsidP="004439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689FC3E" w14:textId="77777777" w:rsidR="00C46619" w:rsidRDefault="00C46619" w:rsidP="00333C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9674213"/>
      <w:docPartObj>
        <w:docPartGallery w:val="Page Numbers (Bottom of Page)"/>
        <w:docPartUnique/>
      </w:docPartObj>
    </w:sdtPr>
    <w:sdtContent>
      <w:p w14:paraId="4EF52792" w14:textId="77777777" w:rsidR="00C46619" w:rsidRDefault="00C46619" w:rsidP="004439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FBF397" w14:textId="77777777" w:rsidR="00C46619" w:rsidRDefault="00C46619" w:rsidP="00333C5D">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619"/>
    <w:rsid w:val="001277EC"/>
    <w:rsid w:val="00195413"/>
    <w:rsid w:val="003D0186"/>
    <w:rsid w:val="007278E4"/>
    <w:rsid w:val="00A3738C"/>
    <w:rsid w:val="00BC6C35"/>
    <w:rsid w:val="00C46619"/>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440F6"/>
  <w15:chartTrackingRefBased/>
  <w15:docId w15:val="{B47C7662-40B6-45A4-B60E-4429BD758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619"/>
    <w:pPr>
      <w:spacing w:after="0" w:line="240" w:lineRule="auto"/>
    </w:pPr>
    <w:rPr>
      <w:rFonts w:ascii="Arial" w:eastAsia="Arial" w:hAnsi="Arial" w:cs="Arial"/>
      <w:kern w:val="0"/>
      <w:sz w:val="22"/>
      <w:szCs w:val="22"/>
      <w:lang w:eastAsia="en-GB"/>
      <w14:ligatures w14:val="none"/>
    </w:rPr>
  </w:style>
  <w:style w:type="paragraph" w:styleId="Heading1">
    <w:name w:val="heading 1"/>
    <w:basedOn w:val="Normal"/>
    <w:next w:val="Normal"/>
    <w:link w:val="Heading1Char"/>
    <w:uiPriority w:val="9"/>
    <w:qFormat/>
    <w:rsid w:val="00C4661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C4661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C4661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C4661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C4661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C4661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C4661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C4661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C46619"/>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66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66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66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66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66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66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66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66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6619"/>
    <w:rPr>
      <w:rFonts w:eastAsiaTheme="majorEastAsia" w:cstheme="majorBidi"/>
      <w:color w:val="272727" w:themeColor="text1" w:themeTint="D8"/>
    </w:rPr>
  </w:style>
  <w:style w:type="paragraph" w:styleId="Title">
    <w:name w:val="Title"/>
    <w:basedOn w:val="Normal"/>
    <w:next w:val="Normal"/>
    <w:link w:val="TitleChar"/>
    <w:uiPriority w:val="10"/>
    <w:qFormat/>
    <w:rsid w:val="00C46619"/>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C466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661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C466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661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C46619"/>
    <w:rPr>
      <w:i/>
      <w:iCs/>
      <w:color w:val="404040" w:themeColor="text1" w:themeTint="BF"/>
    </w:rPr>
  </w:style>
  <w:style w:type="paragraph" w:styleId="ListParagraph">
    <w:name w:val="List Paragraph"/>
    <w:basedOn w:val="Normal"/>
    <w:uiPriority w:val="34"/>
    <w:qFormat/>
    <w:rsid w:val="00C46619"/>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C46619"/>
    <w:rPr>
      <w:i/>
      <w:iCs/>
      <w:color w:val="0F4761" w:themeColor="accent1" w:themeShade="BF"/>
    </w:rPr>
  </w:style>
  <w:style w:type="paragraph" w:styleId="IntenseQuote">
    <w:name w:val="Intense Quote"/>
    <w:basedOn w:val="Normal"/>
    <w:next w:val="Normal"/>
    <w:link w:val="IntenseQuoteChar"/>
    <w:uiPriority w:val="30"/>
    <w:qFormat/>
    <w:rsid w:val="00C4661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C46619"/>
    <w:rPr>
      <w:i/>
      <w:iCs/>
      <w:color w:val="0F4761" w:themeColor="accent1" w:themeShade="BF"/>
    </w:rPr>
  </w:style>
  <w:style w:type="character" w:styleId="IntenseReference">
    <w:name w:val="Intense Reference"/>
    <w:basedOn w:val="DefaultParagraphFont"/>
    <w:uiPriority w:val="32"/>
    <w:qFormat/>
    <w:rsid w:val="00C46619"/>
    <w:rPr>
      <w:b/>
      <w:bCs/>
      <w:smallCaps/>
      <w:color w:val="0F4761" w:themeColor="accent1" w:themeShade="BF"/>
      <w:spacing w:val="5"/>
    </w:rPr>
  </w:style>
  <w:style w:type="paragraph" w:styleId="Footer">
    <w:name w:val="footer"/>
    <w:basedOn w:val="Normal"/>
    <w:link w:val="FooterChar"/>
    <w:uiPriority w:val="99"/>
    <w:unhideWhenUsed/>
    <w:rsid w:val="00C46619"/>
    <w:pPr>
      <w:tabs>
        <w:tab w:val="center" w:pos="4513"/>
        <w:tab w:val="right" w:pos="9026"/>
      </w:tabs>
    </w:pPr>
  </w:style>
  <w:style w:type="character" w:customStyle="1" w:styleId="FooterChar">
    <w:name w:val="Footer Char"/>
    <w:basedOn w:val="DefaultParagraphFont"/>
    <w:link w:val="Footer"/>
    <w:uiPriority w:val="99"/>
    <w:rsid w:val="00C46619"/>
    <w:rPr>
      <w:rFonts w:ascii="Arial" w:eastAsia="Arial" w:hAnsi="Arial" w:cs="Arial"/>
      <w:kern w:val="0"/>
      <w:sz w:val="22"/>
      <w:szCs w:val="22"/>
      <w:lang w:eastAsia="en-GB"/>
      <w14:ligatures w14:val="none"/>
    </w:rPr>
  </w:style>
  <w:style w:type="character" w:styleId="PageNumber">
    <w:name w:val="page number"/>
    <w:basedOn w:val="DefaultParagraphFont"/>
    <w:uiPriority w:val="99"/>
    <w:semiHidden/>
    <w:unhideWhenUsed/>
    <w:rsid w:val="00C46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2041</Words>
  <Characters>12536</Characters>
  <Application>Microsoft Office Word</Application>
  <DocSecurity>0</DocSecurity>
  <Lines>368</Lines>
  <Paragraphs>182</Paragraphs>
  <ScaleCrop>false</ScaleCrop>
  <Company>Springer Nature</Company>
  <LinksUpToDate>false</LinksUpToDate>
  <CharactersWithSpaces>14395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2026-03-30T05:32:00Z</dcterms:created>
  <dcterms:modified xsi:type="dcterms:W3CDTF">2026-03-30T05:33:00Z</dcterms:modified>
</cp:coreProperties>
</file>