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EA4C" w14:textId="77777777" w:rsidR="00182396" w:rsidRPr="00D93AE5" w:rsidRDefault="00182396" w:rsidP="00182396">
      <w:pPr>
        <w:pStyle w:val="EndNoteBibliography"/>
        <w:spacing w:line="480" w:lineRule="auto"/>
        <w:jc w:val="both"/>
        <w:rPr>
          <w:rFonts w:ascii="Times New Roman" w:hAnsi="Times New Roman" w:cs="Times New Roman"/>
          <w:b/>
        </w:rPr>
      </w:pPr>
      <w:r w:rsidRPr="00D93AE5">
        <w:rPr>
          <w:rFonts w:ascii="Times New Roman" w:hAnsi="Times New Roman" w:cs="Times New Roman"/>
          <w:b/>
        </w:rPr>
        <w:t xml:space="preserve">SUPPLEMENTARY FIGURES </w:t>
      </w:r>
    </w:p>
    <w:p w14:paraId="3EA649CA" w14:textId="77777777" w:rsidR="00182396" w:rsidRPr="00D93AE5" w:rsidRDefault="00182396" w:rsidP="00182396">
      <w:pPr>
        <w:pStyle w:val="EndNoteBibliography"/>
        <w:spacing w:line="480" w:lineRule="auto"/>
        <w:jc w:val="both"/>
        <w:rPr>
          <w:rFonts w:ascii="Times New Roman" w:hAnsi="Times New Roman" w:cs="Times New Roman"/>
          <w:bCs/>
        </w:rPr>
      </w:pPr>
      <w:r w:rsidRPr="00D93AE5">
        <w:rPr>
          <w:rFonts w:ascii="Times New Roman" w:hAnsi="Times New Roman" w:cs="Times New Roman"/>
          <w:b/>
        </w:rPr>
        <w:t>Supplementary Figure 1</w:t>
      </w:r>
      <w:r w:rsidRPr="00D93AE5">
        <w:rPr>
          <w:rFonts w:ascii="Times New Roman" w:hAnsi="Times New Roman" w:cs="Times New Roman"/>
          <w:bCs/>
        </w:rPr>
        <w:t xml:space="preserve">. </w:t>
      </w:r>
      <w:r w:rsidRPr="00D93AE5">
        <w:rPr>
          <w:rFonts w:ascii="Times New Roman" w:hAnsi="Times New Roman" w:cs="Times New Roman"/>
          <w:b/>
        </w:rPr>
        <w:t>Baseline characterization and echocardiographic measurements of the pressure overload mouse model</w:t>
      </w:r>
      <w:r w:rsidRPr="00D93AE5">
        <w:rPr>
          <w:rFonts w:ascii="Times New Roman" w:hAnsi="Times New Roman" w:cs="Times New Roman"/>
          <w:bCs/>
        </w:rPr>
        <w:t>. A, Body weights of wild-type (WT, red; n=14, 9 males, 5 females) and Cdcp1 knockout (KO, blue; n=10, 7 males, 3 females) mice measured weekly from age 3 to 11 weeks. Data are shown as mean (solid lines) ± SD (dashed lines). No statistically significant differences were observed between genotypes at any measured time point (P=0.478, two-way ANOVA). B, Survival curves of WT and Cdcp1 KO mice treated with saline (control) or angiotensin II/phenylephrine (AngII/PE) via osmotic minipump over 14 weeks. Three deaths occurred in AngII/PE WT (n=12), one at 13 weeks, two at 14 weeks post-implantation. All other groups (Saline WT, n=9; Saline KO, n=10; AngII/PE KO, n=9) demonstrated 100% survival. Log-rank (Mantel-Cox) test, P=0.056. C, Left ventricular (LV) ejection fraction (LVEF, %) at baseline, 4 weeks post AngII/PE infusion, and change in LVEF (</w:t>
      </w:r>
      <w:r w:rsidRPr="00D93AE5">
        <w:rPr>
          <w:rFonts w:ascii="Times New Roman" w:hAnsi="Times New Roman" w:cs="Times New Roman"/>
          <w:bCs/>
        </w:rPr>
        <w:t>% from baseline to 4 weeks). D, LV fractional shortening (LVFS, %) at baseline, 4 weeks post AngII/PE infusion, and change in LVFS (</w:t>
      </w:r>
      <w:r w:rsidRPr="00D93AE5">
        <w:rPr>
          <w:rFonts w:ascii="Times New Roman" w:hAnsi="Times New Roman" w:cs="Times New Roman"/>
          <w:bCs/>
        </w:rPr>
        <w:t xml:space="preserve">% from baseline to 4 weeks). For C-D: Saline WT, n=9; Saline KO, n=10; AngII/PE WT, n=9; AngII/PE KO, n=10. Data presented as mean±SD. Statistical analysis was performed using two-way ANOVA (genotype </w:t>
      </w:r>
      <w:r w:rsidRPr="00D93AE5">
        <w:rPr>
          <w:rFonts w:ascii="Times New Roman" w:hAnsi="Times New Roman" w:cs="Times New Roman"/>
          <w:bCs/>
        </w:rPr>
        <w:t> treatment) followed by pre-specified pairwise comparisons using unpaired two-tailed Student’s t-tests.</w:t>
      </w:r>
    </w:p>
    <w:p w14:paraId="0C699E9B" w14:textId="77777777" w:rsidR="00182396" w:rsidRPr="00D93AE5" w:rsidRDefault="00182396" w:rsidP="00182396">
      <w:pPr>
        <w:pStyle w:val="EndNoteBibliography"/>
        <w:spacing w:line="480" w:lineRule="auto"/>
        <w:jc w:val="both"/>
        <w:rPr>
          <w:rFonts w:ascii="Times New Roman" w:hAnsi="Times New Roman" w:cs="Times New Roman"/>
          <w:bCs/>
        </w:rPr>
      </w:pPr>
    </w:p>
    <w:p w14:paraId="4AF65A14" w14:textId="77777777" w:rsidR="00182396" w:rsidRPr="00D93AE5" w:rsidRDefault="00182396" w:rsidP="00182396">
      <w:pPr>
        <w:pStyle w:val="EndNoteBibliography"/>
        <w:spacing w:line="480" w:lineRule="auto"/>
        <w:jc w:val="both"/>
        <w:rPr>
          <w:rFonts w:ascii="Times New Roman" w:hAnsi="Times New Roman" w:cs="Times New Roman"/>
          <w:bCs/>
        </w:rPr>
      </w:pPr>
      <w:r w:rsidRPr="00D93AE5">
        <w:rPr>
          <w:rFonts w:ascii="Times New Roman" w:hAnsi="Times New Roman" w:cs="Times New Roman"/>
          <w:b/>
        </w:rPr>
        <w:t>Supplementary Figure 2</w:t>
      </w:r>
      <w:r w:rsidRPr="00D93AE5">
        <w:rPr>
          <w:rFonts w:ascii="Times New Roman" w:hAnsi="Times New Roman" w:cs="Times New Roman"/>
          <w:bCs/>
        </w:rPr>
        <w:t>. Volcano plots of i) Saline KO v/s Saline WT; ii) Ang/PE KO v/s Saline WT; iii) Ang/PE KO v/s Saline KO</w:t>
      </w:r>
    </w:p>
    <w:p w14:paraId="67EA8CD3" w14:textId="77777777" w:rsidR="00182396" w:rsidRPr="00D93AE5" w:rsidRDefault="00182396" w:rsidP="00182396">
      <w:pPr>
        <w:pStyle w:val="EndNoteBibliography"/>
        <w:spacing w:line="480" w:lineRule="auto"/>
        <w:jc w:val="both"/>
        <w:rPr>
          <w:rFonts w:ascii="Times New Roman" w:hAnsi="Times New Roman" w:cs="Times New Roman"/>
          <w:bCs/>
        </w:rPr>
      </w:pPr>
    </w:p>
    <w:p w14:paraId="2C297982" w14:textId="77777777" w:rsidR="00182396" w:rsidRPr="00D93AE5" w:rsidRDefault="00182396" w:rsidP="00182396">
      <w:pPr>
        <w:pStyle w:val="EndNoteBibliography"/>
        <w:spacing w:line="480" w:lineRule="auto"/>
        <w:jc w:val="both"/>
        <w:rPr>
          <w:rFonts w:ascii="Times New Roman" w:hAnsi="Times New Roman" w:cs="Times New Roman"/>
          <w:bCs/>
        </w:rPr>
      </w:pPr>
      <w:r w:rsidRPr="00D93AE5">
        <w:rPr>
          <w:rFonts w:ascii="Times New Roman" w:hAnsi="Times New Roman" w:cs="Times New Roman"/>
          <w:b/>
        </w:rPr>
        <w:t>Supplementary Figure 3</w:t>
      </w:r>
      <w:r w:rsidRPr="00D93AE5">
        <w:rPr>
          <w:rFonts w:ascii="Times New Roman" w:hAnsi="Times New Roman" w:cs="Times New Roman"/>
          <w:bCs/>
        </w:rPr>
        <w:t xml:space="preserve">. Experimental overview of spatial transcriptomics and deconvolution analysis of cardiac tissue from WT and Cdcp1 KO mice under saline or AngII/PE treatment. </w:t>
      </w:r>
    </w:p>
    <w:p w14:paraId="4E27378F" w14:textId="77777777" w:rsidR="00182396" w:rsidRPr="00D93AE5" w:rsidRDefault="00182396" w:rsidP="00182396">
      <w:pPr>
        <w:pStyle w:val="EndNoteBibliography"/>
        <w:spacing w:line="480" w:lineRule="auto"/>
        <w:jc w:val="both"/>
        <w:rPr>
          <w:rFonts w:ascii="Times New Roman" w:hAnsi="Times New Roman" w:cs="Times New Roman"/>
          <w:bCs/>
        </w:rPr>
      </w:pPr>
    </w:p>
    <w:p w14:paraId="518B3FCA" w14:textId="77777777" w:rsidR="00182396" w:rsidRPr="00D93AE5" w:rsidRDefault="00182396" w:rsidP="00182396">
      <w:pPr>
        <w:pStyle w:val="EndNoteBibliography"/>
        <w:spacing w:line="480" w:lineRule="auto"/>
        <w:jc w:val="both"/>
        <w:rPr>
          <w:rFonts w:ascii="Times New Roman" w:hAnsi="Times New Roman" w:cs="Times New Roman"/>
          <w:bCs/>
        </w:rPr>
      </w:pPr>
      <w:r w:rsidRPr="00D93AE5">
        <w:rPr>
          <w:rFonts w:ascii="Times New Roman" w:hAnsi="Times New Roman" w:cs="Times New Roman"/>
          <w:b/>
        </w:rPr>
        <w:t>Supplementary Figure 4</w:t>
      </w:r>
      <w:r w:rsidRPr="00D93AE5">
        <w:rPr>
          <w:rFonts w:ascii="Times New Roman" w:hAnsi="Times New Roman" w:cs="Times New Roman"/>
          <w:bCs/>
        </w:rPr>
        <w:t>. Characterization of cardiomyocytes using cell type deconvolution in spatial transcriptomics. A, Cardiomyocyte subtypes shown in rows for each experimental group. Color represents proportion of spot associated with subtype. B, Mean values of deconvoluted cardiomyocyte subtype proportions per experimental group.</w:t>
      </w:r>
    </w:p>
    <w:p w14:paraId="661B163A" w14:textId="77777777" w:rsidR="00182396" w:rsidRPr="00D93AE5" w:rsidRDefault="00182396" w:rsidP="00182396">
      <w:pPr>
        <w:pStyle w:val="EndNoteBibliography"/>
        <w:spacing w:line="480" w:lineRule="auto"/>
        <w:jc w:val="both"/>
        <w:rPr>
          <w:rFonts w:ascii="Times New Roman" w:hAnsi="Times New Roman" w:cs="Times New Roman"/>
          <w:bCs/>
        </w:rPr>
      </w:pPr>
    </w:p>
    <w:p w14:paraId="383093DA" w14:textId="77777777" w:rsidR="00182396" w:rsidRPr="00D93AE5" w:rsidRDefault="00182396" w:rsidP="00182396">
      <w:pPr>
        <w:pStyle w:val="EndNoteBibliography"/>
        <w:spacing w:line="480" w:lineRule="auto"/>
        <w:jc w:val="both"/>
        <w:rPr>
          <w:rFonts w:ascii="Times New Roman" w:hAnsi="Times New Roman" w:cs="Times New Roman"/>
          <w:bCs/>
        </w:rPr>
      </w:pPr>
      <w:r w:rsidRPr="00D93AE5">
        <w:rPr>
          <w:rFonts w:ascii="Times New Roman" w:hAnsi="Times New Roman" w:cs="Times New Roman"/>
          <w:b/>
        </w:rPr>
        <w:t>Supplementary Figure 5</w:t>
      </w:r>
      <w:r w:rsidRPr="00D93AE5">
        <w:rPr>
          <w:rFonts w:ascii="Times New Roman" w:hAnsi="Times New Roman" w:cs="Times New Roman"/>
          <w:bCs/>
        </w:rPr>
        <w:t>. Characterization of fibroblasts (FB) and endothelial cells (EC) using cell type deconvolution in spatial transcriptomics. A, Fibroblasts and endothelial subtypes shown in rows for each experimental group. Color represents proportion of spot associated with subtype. B, Mean values of deconvoluted FB and EC subtype proportions per experimental group.</w:t>
      </w:r>
    </w:p>
    <w:p w14:paraId="3AA4D16F" w14:textId="77777777" w:rsidR="00182396" w:rsidRPr="00D93AE5" w:rsidRDefault="00182396" w:rsidP="00182396">
      <w:pPr>
        <w:pStyle w:val="EndNoteBibliography"/>
        <w:spacing w:line="480" w:lineRule="auto"/>
        <w:jc w:val="both"/>
        <w:rPr>
          <w:rFonts w:ascii="Times New Roman" w:hAnsi="Times New Roman" w:cs="Times New Roman"/>
          <w:bCs/>
        </w:rPr>
      </w:pPr>
    </w:p>
    <w:p w14:paraId="600374DA" w14:textId="77777777" w:rsidR="00182396" w:rsidRPr="00C978A8" w:rsidRDefault="00182396" w:rsidP="00182396">
      <w:pPr>
        <w:pStyle w:val="EndNoteBibliography"/>
        <w:spacing w:line="480" w:lineRule="auto"/>
        <w:jc w:val="both"/>
        <w:rPr>
          <w:rFonts w:ascii="Times New Roman" w:hAnsi="Times New Roman" w:cs="Times New Roman"/>
          <w:bCs/>
        </w:rPr>
      </w:pPr>
      <w:r w:rsidRPr="00D93AE5">
        <w:rPr>
          <w:rFonts w:ascii="Times New Roman" w:hAnsi="Times New Roman" w:cs="Times New Roman"/>
          <w:b/>
        </w:rPr>
        <w:t>Supplementary Figure 6</w:t>
      </w:r>
      <w:r w:rsidRPr="00D93AE5">
        <w:rPr>
          <w:rFonts w:ascii="Times New Roman" w:hAnsi="Times New Roman" w:cs="Times New Roman"/>
          <w:bCs/>
        </w:rPr>
        <w:t>. Spatial distribution and GSEA GO-BP of A, CM4 cardiomyocyte subtype B, CM6 cardiomyocyte subtype.</w:t>
      </w:r>
    </w:p>
    <w:p w14:paraId="7FA6ADC0" w14:textId="77777777" w:rsidR="00E023F9" w:rsidRDefault="00E023F9"/>
    <w:sectPr w:rsidR="00E023F9" w:rsidSect="00182396">
      <w:footerReference w:type="default" r:id="rId4"/>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49F2" w14:textId="77777777" w:rsidR="00182396" w:rsidRPr="00FB05E9" w:rsidRDefault="00182396" w:rsidP="004E5A94">
    <w:pPr>
      <w:pStyle w:val="Footer"/>
      <w:jc w:val="center"/>
      <w:rPr>
        <w:rFonts w:ascii="Times New Roman" w:hAnsi="Times New Roman" w:cs="Times New Roman"/>
      </w:rPr>
    </w:pPr>
    <w:r w:rsidRPr="00FB05E9">
      <w:rPr>
        <w:rFonts w:ascii="Times New Roman" w:hAnsi="Times New Roman" w:cs="Times New Roman"/>
      </w:rPr>
      <w:t xml:space="preserve">Page </w:t>
    </w:r>
    <w:r w:rsidRPr="00FB05E9">
      <w:rPr>
        <w:rFonts w:ascii="Times New Roman" w:hAnsi="Times New Roman" w:cs="Times New Roman"/>
      </w:rPr>
      <w:fldChar w:fldCharType="begin"/>
    </w:r>
    <w:r w:rsidRPr="00FB05E9">
      <w:rPr>
        <w:rFonts w:ascii="Times New Roman" w:hAnsi="Times New Roman" w:cs="Times New Roman"/>
      </w:rPr>
      <w:instrText xml:space="preserve"> PAGE  \* Arabic  \* MERGEFORMAT </w:instrText>
    </w:r>
    <w:r w:rsidRPr="00FB05E9">
      <w:rPr>
        <w:rFonts w:ascii="Times New Roman" w:hAnsi="Times New Roman" w:cs="Times New Roman"/>
      </w:rPr>
      <w:fldChar w:fldCharType="separate"/>
    </w:r>
    <w:r w:rsidRPr="00FB05E9">
      <w:rPr>
        <w:rFonts w:ascii="Times New Roman" w:hAnsi="Times New Roman" w:cs="Times New Roman"/>
        <w:noProof/>
      </w:rPr>
      <w:t>2</w:t>
    </w:r>
    <w:r w:rsidRPr="00FB05E9">
      <w:rPr>
        <w:rFonts w:ascii="Times New Roman" w:hAnsi="Times New Roman" w:cs="Times New Roman"/>
      </w:rPr>
      <w:fldChar w:fldCharType="end"/>
    </w:r>
    <w:r w:rsidRPr="00FB05E9">
      <w:rPr>
        <w:rFonts w:ascii="Times New Roman" w:hAnsi="Times New Roman" w:cs="Times New Roman"/>
      </w:rPr>
      <w:t xml:space="preserve"> of </w:t>
    </w:r>
    <w:r w:rsidRPr="00FB05E9">
      <w:rPr>
        <w:rFonts w:ascii="Times New Roman" w:hAnsi="Times New Roman" w:cs="Times New Roman"/>
      </w:rPr>
      <w:fldChar w:fldCharType="begin"/>
    </w:r>
    <w:r w:rsidRPr="00FB05E9">
      <w:rPr>
        <w:rFonts w:ascii="Times New Roman" w:hAnsi="Times New Roman" w:cs="Times New Roman"/>
      </w:rPr>
      <w:instrText xml:space="preserve"> NUMPAGES  \* Arabic  \* MERGEFORMAT </w:instrText>
    </w:r>
    <w:r w:rsidRPr="00FB05E9">
      <w:rPr>
        <w:rFonts w:ascii="Times New Roman" w:hAnsi="Times New Roman" w:cs="Times New Roman"/>
      </w:rPr>
      <w:fldChar w:fldCharType="separate"/>
    </w:r>
    <w:r w:rsidRPr="00FB05E9">
      <w:rPr>
        <w:rFonts w:ascii="Times New Roman" w:hAnsi="Times New Roman" w:cs="Times New Roman"/>
        <w:noProof/>
      </w:rPr>
      <w:t>2</w:t>
    </w:r>
    <w:r w:rsidRPr="00FB05E9">
      <w:rPr>
        <w:rFonts w:ascii="Times New Roman" w:hAnsi="Times New Roman" w:cs="Times New Roman"/>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96"/>
    <w:rsid w:val="000C4033"/>
    <w:rsid w:val="00173ED8"/>
    <w:rsid w:val="00182396"/>
    <w:rsid w:val="004B42CB"/>
    <w:rsid w:val="005F2B46"/>
    <w:rsid w:val="006E1731"/>
    <w:rsid w:val="00866D74"/>
    <w:rsid w:val="00882A73"/>
    <w:rsid w:val="0095305D"/>
    <w:rsid w:val="009832C9"/>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172B"/>
  <w15:chartTrackingRefBased/>
  <w15:docId w15:val="{F5522AA9-3ADC-48B8-B8A6-9289A7F5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96"/>
    <w:pPr>
      <w:spacing w:after="0" w:line="240" w:lineRule="auto"/>
    </w:pPr>
    <w:rPr>
      <w:kern w:val="0"/>
      <w:lang w:val="en-US"/>
      <w14:ligatures w14:val="none"/>
    </w:rPr>
  </w:style>
  <w:style w:type="paragraph" w:styleId="Heading1">
    <w:name w:val="heading 1"/>
    <w:basedOn w:val="Normal"/>
    <w:next w:val="Normal"/>
    <w:link w:val="Heading1Char"/>
    <w:uiPriority w:val="9"/>
    <w:qFormat/>
    <w:rsid w:val="001823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1823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182396"/>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182396"/>
    <w:pPr>
      <w:keepNext/>
      <w:keepLines/>
      <w:spacing w:before="80" w:after="40" w:line="278" w:lineRule="auto"/>
      <w:outlineLvl w:val="3"/>
    </w:pPr>
    <w:rPr>
      <w:rFonts w:eastAsiaTheme="majorEastAsia"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182396"/>
    <w:pPr>
      <w:keepNext/>
      <w:keepLines/>
      <w:spacing w:before="80" w:after="40" w:line="278" w:lineRule="auto"/>
      <w:outlineLvl w:val="4"/>
    </w:pPr>
    <w:rPr>
      <w:rFonts w:eastAsiaTheme="majorEastAsia"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182396"/>
    <w:pPr>
      <w:keepNext/>
      <w:keepLines/>
      <w:spacing w:before="40" w:line="278"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182396"/>
    <w:pPr>
      <w:keepNext/>
      <w:keepLines/>
      <w:spacing w:before="40" w:line="278"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182396"/>
    <w:pPr>
      <w:keepNext/>
      <w:keepLines/>
      <w:spacing w:line="278"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182396"/>
    <w:pPr>
      <w:keepNext/>
      <w:keepLines/>
      <w:spacing w:line="278"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96"/>
    <w:rPr>
      <w:rFonts w:eastAsiaTheme="majorEastAsia" w:cstheme="majorBidi"/>
      <w:color w:val="272727" w:themeColor="text1" w:themeTint="D8"/>
    </w:rPr>
  </w:style>
  <w:style w:type="paragraph" w:styleId="Title">
    <w:name w:val="Title"/>
    <w:basedOn w:val="Normal"/>
    <w:next w:val="Normal"/>
    <w:link w:val="TitleChar"/>
    <w:uiPriority w:val="10"/>
    <w:qFormat/>
    <w:rsid w:val="00182396"/>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182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96"/>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182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96"/>
    <w:pPr>
      <w:spacing w:before="160" w:after="160" w:line="278"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182396"/>
    <w:rPr>
      <w:i/>
      <w:iCs/>
      <w:color w:val="404040" w:themeColor="text1" w:themeTint="BF"/>
    </w:rPr>
  </w:style>
  <w:style w:type="paragraph" w:styleId="ListParagraph">
    <w:name w:val="List Paragraph"/>
    <w:basedOn w:val="Normal"/>
    <w:uiPriority w:val="34"/>
    <w:qFormat/>
    <w:rsid w:val="00182396"/>
    <w:pPr>
      <w:spacing w:after="160" w:line="278"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182396"/>
    <w:rPr>
      <w:i/>
      <w:iCs/>
      <w:color w:val="0F4761" w:themeColor="accent1" w:themeShade="BF"/>
    </w:rPr>
  </w:style>
  <w:style w:type="paragraph" w:styleId="IntenseQuote">
    <w:name w:val="Intense Quote"/>
    <w:basedOn w:val="Normal"/>
    <w:next w:val="Normal"/>
    <w:link w:val="IntenseQuoteChar"/>
    <w:uiPriority w:val="30"/>
    <w:qFormat/>
    <w:rsid w:val="001823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182396"/>
    <w:rPr>
      <w:i/>
      <w:iCs/>
      <w:color w:val="0F4761" w:themeColor="accent1" w:themeShade="BF"/>
    </w:rPr>
  </w:style>
  <w:style w:type="character" w:styleId="IntenseReference">
    <w:name w:val="Intense Reference"/>
    <w:basedOn w:val="DefaultParagraphFont"/>
    <w:uiPriority w:val="32"/>
    <w:qFormat/>
    <w:rsid w:val="00182396"/>
    <w:rPr>
      <w:b/>
      <w:bCs/>
      <w:smallCaps/>
      <w:color w:val="0F4761" w:themeColor="accent1" w:themeShade="BF"/>
      <w:spacing w:val="5"/>
    </w:rPr>
  </w:style>
  <w:style w:type="paragraph" w:styleId="Footer">
    <w:name w:val="footer"/>
    <w:basedOn w:val="Normal"/>
    <w:link w:val="FooterChar"/>
    <w:uiPriority w:val="99"/>
    <w:unhideWhenUsed/>
    <w:rsid w:val="00182396"/>
    <w:pPr>
      <w:tabs>
        <w:tab w:val="center" w:pos="4680"/>
        <w:tab w:val="right" w:pos="9360"/>
      </w:tabs>
    </w:pPr>
  </w:style>
  <w:style w:type="character" w:customStyle="1" w:styleId="FooterChar">
    <w:name w:val="Footer Char"/>
    <w:basedOn w:val="DefaultParagraphFont"/>
    <w:link w:val="Footer"/>
    <w:uiPriority w:val="99"/>
    <w:rsid w:val="00182396"/>
    <w:rPr>
      <w:kern w:val="0"/>
      <w:lang w:val="en-US"/>
      <w14:ligatures w14:val="none"/>
    </w:rPr>
  </w:style>
  <w:style w:type="paragraph" w:customStyle="1" w:styleId="EndNoteBibliography">
    <w:name w:val="EndNote Bibliography"/>
    <w:basedOn w:val="Normal"/>
    <w:link w:val="EndNoteBibliographyChar"/>
    <w:rsid w:val="00182396"/>
    <w:rPr>
      <w:rFonts w:ascii="Aptos" w:hAnsi="Aptos"/>
    </w:rPr>
  </w:style>
  <w:style w:type="character" w:customStyle="1" w:styleId="EndNoteBibliographyChar">
    <w:name w:val="EndNote Bibliography Char"/>
    <w:basedOn w:val="DefaultParagraphFont"/>
    <w:link w:val="EndNoteBibliography"/>
    <w:rsid w:val="00182396"/>
    <w:rPr>
      <w:rFonts w:ascii="Aptos" w:hAnsi="Aptos"/>
      <w:kern w:val="0"/>
      <w:lang w:val="en-US"/>
      <w14:ligatures w14:val="none"/>
    </w:rPr>
  </w:style>
  <w:style w:type="character" w:styleId="LineNumber">
    <w:name w:val="line number"/>
    <w:basedOn w:val="DefaultParagraphFont"/>
    <w:uiPriority w:val="99"/>
    <w:semiHidden/>
    <w:unhideWhenUsed/>
    <w:rsid w:val="0018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2026-05-08T22:51:00Z</dcterms:created>
  <dcterms:modified xsi:type="dcterms:W3CDTF">2026-05-08T22:51:00Z</dcterms:modified>
</cp:coreProperties>
</file>