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978E2" w14:textId="77777777" w:rsidR="009F4255" w:rsidRDefault="009F4255" w:rsidP="009F4255">
      <w:pPr>
        <w:spacing w:line="360" w:lineRule="auto"/>
        <w:rPr>
          <w:rFonts w:ascii="Arial" w:hAnsi="Arial" w:cs="Arial"/>
          <w:b/>
          <w:bCs/>
          <w:kern w:val="24"/>
          <w:sz w:val="28"/>
          <w:szCs w:val="28"/>
        </w:rPr>
      </w:pPr>
      <w:r w:rsidRPr="00766025">
        <w:rPr>
          <w:rFonts w:ascii="Arial" w:hAnsi="Arial" w:cs="Arial"/>
          <w:noProof/>
        </w:rPr>
        <w:drawing>
          <wp:inline distT="0" distB="0" distL="0" distR="0" wp14:anchorId="25E21487" wp14:editId="6D3A4E8A">
            <wp:extent cx="5099685" cy="4522470"/>
            <wp:effectExtent l="0" t="0" r="5715" b="0"/>
            <wp:docPr id="9" name="图片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685" cy="452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C5E70" w14:textId="4B35584E" w:rsidR="009F4255" w:rsidRPr="00766025" w:rsidRDefault="009F4255" w:rsidP="009F4255">
      <w:pPr>
        <w:spacing w:line="360" w:lineRule="auto"/>
        <w:rPr>
          <w:rFonts w:ascii="Arial" w:hAnsi="Arial" w:cs="Arial"/>
          <w:b/>
          <w:bCs/>
          <w:kern w:val="24"/>
          <w:sz w:val="28"/>
          <w:szCs w:val="28"/>
        </w:rPr>
      </w:pPr>
      <w:r w:rsidRPr="00766025">
        <w:rPr>
          <w:rFonts w:ascii="Arial" w:hAnsi="Arial" w:cs="Arial"/>
          <w:b/>
          <w:bCs/>
          <w:kern w:val="24"/>
          <w:sz w:val="28"/>
          <w:szCs w:val="28"/>
        </w:rPr>
        <w:t xml:space="preserve">Extended Data Fig. 1 | Copper concentrations are </w:t>
      </w:r>
      <w:proofErr w:type="gramStart"/>
      <w:r w:rsidRPr="00766025">
        <w:rPr>
          <w:rFonts w:ascii="Arial" w:hAnsi="Arial" w:cs="Arial"/>
          <w:b/>
          <w:bCs/>
          <w:kern w:val="24"/>
          <w:sz w:val="28"/>
          <w:szCs w:val="28"/>
        </w:rPr>
        <w:t>decreased</w:t>
      </w:r>
      <w:proofErr w:type="gramEnd"/>
      <w:r w:rsidRPr="00766025">
        <w:rPr>
          <w:rFonts w:ascii="Arial" w:hAnsi="Arial" w:cs="Arial"/>
          <w:b/>
          <w:bCs/>
          <w:kern w:val="24"/>
          <w:sz w:val="28"/>
          <w:szCs w:val="28"/>
        </w:rPr>
        <w:t xml:space="preserve"> and CP expression is increased in fatty liver and diabetes, Related to Fig. 1. </w:t>
      </w:r>
    </w:p>
    <w:p w14:paraId="744FAB87" w14:textId="77777777" w:rsidR="009F4255" w:rsidRPr="00766025" w:rsidRDefault="009F4255" w:rsidP="009F4255">
      <w:pPr>
        <w:spacing w:line="360" w:lineRule="auto"/>
        <w:rPr>
          <w:rFonts w:ascii="Arial" w:hAnsi="Arial" w:cs="Arial"/>
          <w:bCs/>
          <w:sz w:val="28"/>
          <w:szCs w:val="28"/>
        </w:rPr>
      </w:pPr>
      <w:r w:rsidRPr="00766025">
        <w:rPr>
          <w:rFonts w:ascii="Arial" w:hAnsi="Arial" w:cs="Arial"/>
          <w:bCs/>
          <w:sz w:val="28"/>
          <w:szCs w:val="28"/>
        </w:rPr>
        <w:t xml:space="preserve">(a) Hepatic copper concentrations in </w:t>
      </w:r>
      <w:proofErr w:type="spellStart"/>
      <w:r w:rsidRPr="00766025">
        <w:rPr>
          <w:rFonts w:ascii="Arial" w:hAnsi="Arial" w:cs="Arial"/>
          <w:bCs/>
          <w:i/>
          <w:iCs/>
          <w:sz w:val="28"/>
          <w:szCs w:val="28"/>
        </w:rPr>
        <w:t>ob</w:t>
      </w:r>
      <w:proofErr w:type="spellEnd"/>
      <w:r w:rsidRPr="00766025">
        <w:rPr>
          <w:rFonts w:ascii="Arial" w:hAnsi="Arial" w:cs="Arial"/>
          <w:bCs/>
          <w:i/>
          <w:iCs/>
          <w:sz w:val="28"/>
          <w:szCs w:val="28"/>
        </w:rPr>
        <w:t>/</w:t>
      </w:r>
      <w:proofErr w:type="spellStart"/>
      <w:r w:rsidRPr="00766025">
        <w:rPr>
          <w:rFonts w:ascii="Arial" w:hAnsi="Arial" w:cs="Arial"/>
          <w:bCs/>
          <w:i/>
          <w:iCs/>
          <w:sz w:val="28"/>
          <w:szCs w:val="28"/>
        </w:rPr>
        <w:t>ob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 and wild-type (WT) mice (n=6 in each group). (b) mRNA levels of </w:t>
      </w:r>
      <w:r w:rsidRPr="00766025">
        <w:rPr>
          <w:rFonts w:ascii="Arial" w:hAnsi="Arial" w:cs="Arial"/>
          <w:bCs/>
          <w:i/>
          <w:iCs/>
          <w:sz w:val="28"/>
          <w:szCs w:val="28"/>
        </w:rPr>
        <w:t>Cp</w:t>
      </w:r>
      <w:r w:rsidRPr="00766025">
        <w:rPr>
          <w:rFonts w:ascii="Arial" w:hAnsi="Arial" w:cs="Arial"/>
          <w:bCs/>
          <w:sz w:val="28"/>
          <w:szCs w:val="28"/>
        </w:rPr>
        <w:t xml:space="preserve"> in livers of</w:t>
      </w:r>
      <w:r w:rsidRPr="00766025">
        <w:rPr>
          <w:rFonts w:ascii="Arial" w:hAnsi="Arial" w:cs="Arial"/>
          <w:bCs/>
          <w:i/>
          <w:iCs/>
          <w:sz w:val="28"/>
          <w:szCs w:val="28"/>
        </w:rPr>
        <w:t xml:space="preserve"> </w:t>
      </w:r>
      <w:proofErr w:type="spellStart"/>
      <w:r w:rsidRPr="00766025">
        <w:rPr>
          <w:rFonts w:ascii="Arial" w:hAnsi="Arial" w:cs="Arial"/>
          <w:bCs/>
          <w:i/>
          <w:iCs/>
          <w:sz w:val="28"/>
          <w:szCs w:val="28"/>
        </w:rPr>
        <w:t>ob</w:t>
      </w:r>
      <w:proofErr w:type="spellEnd"/>
      <w:r w:rsidRPr="00766025">
        <w:rPr>
          <w:rFonts w:ascii="Arial" w:hAnsi="Arial" w:cs="Arial"/>
          <w:bCs/>
          <w:i/>
          <w:iCs/>
          <w:sz w:val="28"/>
          <w:szCs w:val="28"/>
        </w:rPr>
        <w:t>/</w:t>
      </w:r>
      <w:proofErr w:type="spellStart"/>
      <w:r w:rsidRPr="00766025">
        <w:rPr>
          <w:rFonts w:ascii="Arial" w:hAnsi="Arial" w:cs="Arial"/>
          <w:bCs/>
          <w:i/>
          <w:iCs/>
          <w:sz w:val="28"/>
          <w:szCs w:val="28"/>
        </w:rPr>
        <w:t>ob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 and WT mice. (c-d) CP protein levels (c) and their quantified signal intensity (d) in livers of</w:t>
      </w:r>
      <w:r w:rsidRPr="00766025">
        <w:rPr>
          <w:rFonts w:ascii="Arial" w:hAnsi="Arial" w:cs="Arial"/>
          <w:bCs/>
          <w:i/>
          <w:iCs/>
          <w:sz w:val="28"/>
          <w:szCs w:val="28"/>
        </w:rPr>
        <w:t xml:space="preserve"> </w:t>
      </w:r>
      <w:proofErr w:type="spellStart"/>
      <w:r w:rsidRPr="00766025">
        <w:rPr>
          <w:rFonts w:ascii="Arial" w:hAnsi="Arial" w:cs="Arial"/>
          <w:bCs/>
          <w:i/>
          <w:iCs/>
          <w:sz w:val="28"/>
          <w:szCs w:val="28"/>
        </w:rPr>
        <w:t>ob</w:t>
      </w:r>
      <w:proofErr w:type="spellEnd"/>
      <w:r w:rsidRPr="00766025">
        <w:rPr>
          <w:rFonts w:ascii="Arial" w:hAnsi="Arial" w:cs="Arial"/>
          <w:bCs/>
          <w:i/>
          <w:iCs/>
          <w:sz w:val="28"/>
          <w:szCs w:val="28"/>
        </w:rPr>
        <w:t>/</w:t>
      </w:r>
      <w:proofErr w:type="spellStart"/>
      <w:r w:rsidRPr="00766025">
        <w:rPr>
          <w:rFonts w:ascii="Arial" w:hAnsi="Arial" w:cs="Arial"/>
          <w:bCs/>
          <w:i/>
          <w:iCs/>
          <w:sz w:val="28"/>
          <w:szCs w:val="28"/>
        </w:rPr>
        <w:t>ob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 and WT mice. (e) Quantified signal intensity of Fig. 1e. (f) </w:t>
      </w:r>
      <w:r w:rsidRPr="00766025">
        <w:rPr>
          <w:rFonts w:ascii="Arial" w:hAnsi="Arial" w:cs="Arial"/>
          <w:bCs/>
          <w:i/>
          <w:iCs/>
          <w:sz w:val="28"/>
          <w:szCs w:val="28"/>
        </w:rPr>
        <w:t>Cp</w:t>
      </w:r>
      <w:r w:rsidRPr="00766025">
        <w:rPr>
          <w:rFonts w:ascii="Arial" w:hAnsi="Arial" w:cs="Arial"/>
          <w:bCs/>
          <w:sz w:val="28"/>
          <w:szCs w:val="28"/>
        </w:rPr>
        <w:t xml:space="preserve"> mRNA levels in livers of western diet-fed (WD) and normal chow-fed mice (NC). (g) </w:t>
      </w:r>
      <w:r w:rsidRPr="00766025">
        <w:rPr>
          <w:rFonts w:ascii="Arial" w:hAnsi="Arial" w:cs="Arial"/>
          <w:bCs/>
          <w:i/>
          <w:iCs/>
          <w:sz w:val="28"/>
          <w:szCs w:val="28"/>
        </w:rPr>
        <w:t xml:space="preserve">Cp </w:t>
      </w:r>
      <w:r w:rsidRPr="00766025">
        <w:rPr>
          <w:rFonts w:ascii="Arial" w:hAnsi="Arial" w:cs="Arial"/>
          <w:bCs/>
          <w:sz w:val="28"/>
          <w:szCs w:val="28"/>
        </w:rPr>
        <w:t>mRNA levels in livers of vehicle</w:t>
      </w:r>
      <w:r w:rsidRPr="00766025" w:rsidDel="00F74265">
        <w:rPr>
          <w:rFonts w:ascii="Arial" w:hAnsi="Arial" w:cs="Arial"/>
          <w:bCs/>
          <w:sz w:val="28"/>
          <w:szCs w:val="28"/>
        </w:rPr>
        <w:t xml:space="preserve"> </w:t>
      </w:r>
      <w:r w:rsidRPr="00766025">
        <w:rPr>
          <w:rFonts w:ascii="Arial" w:hAnsi="Arial" w:cs="Arial"/>
          <w:bCs/>
          <w:sz w:val="28"/>
          <w:szCs w:val="28"/>
        </w:rPr>
        <w:t>and STZ-injected mice</w:t>
      </w:r>
      <w:r w:rsidRPr="00766025">
        <w:rPr>
          <w:rFonts w:ascii="Arial" w:hAnsi="Arial" w:cs="Arial"/>
          <w:sz w:val="28"/>
          <w:szCs w:val="28"/>
        </w:rPr>
        <w:t>.</w:t>
      </w:r>
      <w:r w:rsidRPr="00766025">
        <w:rPr>
          <w:rFonts w:ascii="Arial" w:hAnsi="Arial" w:cs="Arial"/>
          <w:b/>
          <w:sz w:val="28"/>
          <w:szCs w:val="28"/>
        </w:rPr>
        <w:t xml:space="preserve"> </w:t>
      </w:r>
      <w:r w:rsidRPr="00766025">
        <w:rPr>
          <w:rFonts w:ascii="Arial" w:hAnsi="Arial" w:cs="Arial"/>
          <w:bCs/>
          <w:sz w:val="28"/>
          <w:szCs w:val="28"/>
        </w:rPr>
        <w:t>(h-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i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>)</w:t>
      </w:r>
      <w:r w:rsidRPr="00766025">
        <w:rPr>
          <w:rFonts w:ascii="Arial" w:hAnsi="Arial" w:cs="Arial"/>
          <w:b/>
          <w:sz w:val="28"/>
          <w:szCs w:val="28"/>
        </w:rPr>
        <w:t xml:space="preserve"> </w:t>
      </w:r>
      <w:r w:rsidRPr="00766025">
        <w:rPr>
          <w:rFonts w:ascii="Arial" w:hAnsi="Arial" w:cs="Arial"/>
          <w:bCs/>
          <w:sz w:val="28"/>
          <w:szCs w:val="28"/>
        </w:rPr>
        <w:t>Western blot (h) and quantification (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i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>) of CP protein in the livers of vehicle and STZ-injected</w:t>
      </w:r>
      <w:r w:rsidRPr="00766025" w:rsidDel="00F74265">
        <w:rPr>
          <w:rFonts w:ascii="Arial" w:hAnsi="Arial" w:cs="Arial"/>
          <w:bCs/>
          <w:sz w:val="28"/>
          <w:szCs w:val="28"/>
        </w:rPr>
        <w:t xml:space="preserve"> </w:t>
      </w:r>
      <w:r w:rsidRPr="00766025">
        <w:rPr>
          <w:rFonts w:ascii="Arial" w:hAnsi="Arial" w:cs="Arial"/>
          <w:bCs/>
          <w:sz w:val="28"/>
          <w:szCs w:val="28"/>
        </w:rPr>
        <w:t>mice</w:t>
      </w:r>
      <w:r w:rsidRPr="00766025">
        <w:rPr>
          <w:rFonts w:ascii="Arial" w:hAnsi="Arial" w:cs="Arial"/>
          <w:sz w:val="28"/>
          <w:szCs w:val="28"/>
        </w:rPr>
        <w:t>. (j)</w:t>
      </w:r>
      <w:r w:rsidRPr="00766025">
        <w:rPr>
          <w:rFonts w:ascii="Arial" w:hAnsi="Arial" w:cs="Arial"/>
          <w:bCs/>
          <w:sz w:val="28"/>
          <w:szCs w:val="28"/>
        </w:rPr>
        <w:t xml:space="preserve"> </w:t>
      </w:r>
      <w:r w:rsidRPr="00766025">
        <w:rPr>
          <w:rFonts w:ascii="Arial" w:hAnsi="Arial" w:cs="Arial"/>
          <w:bCs/>
          <w:i/>
          <w:sz w:val="28"/>
          <w:szCs w:val="28"/>
        </w:rPr>
        <w:t>Cp</w:t>
      </w:r>
      <w:r w:rsidRPr="00766025">
        <w:rPr>
          <w:rFonts w:ascii="Arial" w:hAnsi="Arial" w:cs="Arial"/>
          <w:bCs/>
          <w:sz w:val="28"/>
          <w:szCs w:val="28"/>
        </w:rPr>
        <w:t xml:space="preserve"> mRNA levels in the livers of LDKO and CON mice</w:t>
      </w:r>
      <w:r w:rsidRPr="00766025">
        <w:rPr>
          <w:rFonts w:ascii="Arial" w:hAnsi="Arial" w:cs="Arial"/>
          <w:sz w:val="28"/>
          <w:szCs w:val="28"/>
        </w:rPr>
        <w:t>.</w:t>
      </w:r>
      <w:r w:rsidRPr="00766025">
        <w:rPr>
          <w:rFonts w:ascii="Arial" w:hAnsi="Arial" w:cs="Arial"/>
          <w:bCs/>
          <w:sz w:val="28"/>
          <w:szCs w:val="28"/>
        </w:rPr>
        <w:t xml:space="preserve"> (k-l) Western blot analysis (k) and quantification (l) of CP protein in the livers of LDKO and CON mice</w:t>
      </w:r>
      <w:r w:rsidRPr="00766025">
        <w:rPr>
          <w:rFonts w:ascii="Arial" w:hAnsi="Arial" w:cs="Arial"/>
          <w:sz w:val="28"/>
          <w:szCs w:val="28"/>
        </w:rPr>
        <w:t>.</w:t>
      </w:r>
    </w:p>
    <w:p w14:paraId="2F7446C4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28"/>
          <w:szCs w:val="28"/>
        </w:rPr>
      </w:pPr>
      <w:r w:rsidRPr="00766025">
        <w:rPr>
          <w:rFonts w:ascii="Arial" w:hAnsi="Arial" w:cs="Arial"/>
          <w:bCs/>
          <w:sz w:val="28"/>
          <w:szCs w:val="28"/>
        </w:rPr>
        <w:lastRenderedPageBreak/>
        <w:t>Data are presented as mean ± SEM. *p&lt;0.05, **p&lt;0.01, ***p&lt;0.001 compared with the control group.</w:t>
      </w:r>
    </w:p>
    <w:p w14:paraId="1ACB9643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outlineLvl w:val="0"/>
        <w:rPr>
          <w:rFonts w:ascii="Arial" w:hAnsi="Arial" w:cs="Arial"/>
          <w:b/>
          <w:bCs/>
          <w:kern w:val="0"/>
          <w:sz w:val="28"/>
          <w:szCs w:val="28"/>
        </w:rPr>
      </w:pPr>
      <w:r w:rsidRPr="00766025">
        <w:rPr>
          <w:rFonts w:ascii="Arial" w:hAnsi="Arial" w:cs="Arial"/>
          <w:noProof/>
        </w:rPr>
        <w:drawing>
          <wp:inline distT="0" distB="0" distL="0" distR="0" wp14:anchorId="70E3F99E" wp14:editId="74EC1B68">
            <wp:extent cx="5274310" cy="6829425"/>
            <wp:effectExtent l="0" t="0" r="2540" b="9525"/>
            <wp:docPr id="10" name="图片 10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iagram,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2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25">
        <w:rPr>
          <w:rFonts w:ascii="Arial" w:hAnsi="Arial" w:cs="Arial"/>
          <w:b/>
          <w:bCs/>
          <w:kern w:val="24"/>
          <w:sz w:val="28"/>
          <w:szCs w:val="28"/>
        </w:rPr>
        <w:t xml:space="preserve">Extended Data Fig. 2 | </w:t>
      </w:r>
      <w:r w:rsidRPr="00766025">
        <w:rPr>
          <w:rFonts w:ascii="Arial" w:hAnsi="Arial" w:cs="Arial"/>
          <w:b/>
          <w:bCs/>
          <w:sz w:val="28"/>
          <w:szCs w:val="28"/>
        </w:rPr>
        <w:t xml:space="preserve">CP-knockdown attenuates HFD-induced hepatic steatosis, Related to </w:t>
      </w:r>
      <w:bookmarkStart w:id="0" w:name="_Hlk82621517"/>
      <w:r w:rsidRPr="00766025">
        <w:rPr>
          <w:rFonts w:ascii="Arial" w:hAnsi="Arial" w:cs="Arial"/>
          <w:b/>
          <w:bCs/>
          <w:sz w:val="28"/>
          <w:szCs w:val="28"/>
        </w:rPr>
        <w:t>Fig. 1</w:t>
      </w:r>
      <w:bookmarkEnd w:id="0"/>
      <w:r w:rsidRPr="00766025">
        <w:rPr>
          <w:rFonts w:ascii="Arial" w:hAnsi="Arial" w:cs="Arial"/>
          <w:b/>
          <w:bCs/>
          <w:sz w:val="28"/>
          <w:szCs w:val="28"/>
        </w:rPr>
        <w:t xml:space="preserve"> and Fig. 2.</w:t>
      </w:r>
    </w:p>
    <w:p w14:paraId="0F503FA4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hAnsi="Arial" w:cs="Arial"/>
          <w:bCs/>
          <w:kern w:val="0"/>
          <w:sz w:val="28"/>
          <w:szCs w:val="28"/>
        </w:rPr>
      </w:pPr>
      <w:r w:rsidRPr="00766025">
        <w:rPr>
          <w:rFonts w:ascii="Arial" w:hAnsi="Arial" w:cs="Arial"/>
          <w:kern w:val="0"/>
          <w:sz w:val="28"/>
          <w:szCs w:val="28"/>
        </w:rPr>
        <w:lastRenderedPageBreak/>
        <w:t xml:space="preserve">(a-h) </w:t>
      </w:r>
      <w:r w:rsidRPr="00766025">
        <w:rPr>
          <w:rFonts w:ascii="Arial" w:hAnsi="Arial" w:cs="Arial"/>
          <w:bCs/>
          <w:sz w:val="28"/>
          <w:szCs w:val="28"/>
        </w:rPr>
        <w:t>DIO mice (fed with a HFD for 13 weeks) were injected with Ad-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shCP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 or Ad-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shCON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 (n=10 in each group).</w:t>
      </w:r>
      <w:r w:rsidRPr="00766025">
        <w:rPr>
          <w:rFonts w:ascii="Arial" w:hAnsi="Arial" w:cs="Arial"/>
          <w:kern w:val="0"/>
          <w:sz w:val="28"/>
          <w:szCs w:val="28"/>
        </w:rPr>
        <w:t xml:space="preserve"> </w:t>
      </w:r>
      <w:r w:rsidRPr="00766025">
        <w:rPr>
          <w:rFonts w:ascii="Arial" w:hAnsi="Arial" w:cs="Arial"/>
          <w:bCs/>
          <w:sz w:val="28"/>
          <w:szCs w:val="28"/>
        </w:rPr>
        <w:t>(a) CP protein levels in mouse liver.</w:t>
      </w:r>
      <w:r w:rsidRPr="00766025">
        <w:rPr>
          <w:rFonts w:ascii="Arial" w:hAnsi="Arial" w:cs="Arial"/>
          <w:kern w:val="0"/>
          <w:sz w:val="28"/>
          <w:szCs w:val="28"/>
        </w:rPr>
        <w:t xml:space="preserve"> (b) </w:t>
      </w:r>
      <w:r w:rsidRPr="00766025">
        <w:rPr>
          <w:rFonts w:ascii="Arial" w:hAnsi="Arial" w:cs="Arial"/>
          <w:bCs/>
          <w:sz w:val="28"/>
          <w:szCs w:val="28"/>
        </w:rPr>
        <w:t>FFA concentrations in plasma</w:t>
      </w:r>
      <w:r w:rsidRPr="00766025">
        <w:rPr>
          <w:rFonts w:ascii="Arial" w:hAnsi="Arial" w:cs="Arial"/>
          <w:kern w:val="0"/>
          <w:sz w:val="28"/>
          <w:szCs w:val="28"/>
        </w:rPr>
        <w:t xml:space="preserve">. </w:t>
      </w:r>
      <w:r w:rsidRPr="00766025">
        <w:rPr>
          <w:rFonts w:ascii="Arial" w:hAnsi="Arial" w:cs="Arial"/>
          <w:bCs/>
          <w:sz w:val="28"/>
          <w:szCs w:val="28"/>
        </w:rPr>
        <w:t>(c) ITT on day 7 post injection. (d) Area under curve analysis of ITT in (c). (e) GTT on day 15 post injection. (f)</w:t>
      </w:r>
      <w:r w:rsidRPr="00766025">
        <w:rPr>
          <w:rFonts w:ascii="Arial" w:hAnsi="Arial" w:cs="Arial"/>
          <w:sz w:val="28"/>
          <w:szCs w:val="28"/>
        </w:rPr>
        <w:t xml:space="preserve"> Area under curve analysis of GTT in (e).</w:t>
      </w:r>
      <w:r w:rsidRPr="00766025">
        <w:rPr>
          <w:rFonts w:ascii="Arial" w:hAnsi="Arial" w:cs="Arial"/>
          <w:kern w:val="0"/>
          <w:sz w:val="28"/>
          <w:szCs w:val="28"/>
        </w:rPr>
        <w:t xml:space="preserve"> (g) Body weight (g). (h) </w:t>
      </w:r>
      <w:r w:rsidRPr="00766025">
        <w:rPr>
          <w:rFonts w:ascii="Arial" w:hAnsi="Arial" w:cs="Arial"/>
          <w:bCs/>
          <w:sz w:val="28"/>
          <w:szCs w:val="28"/>
        </w:rPr>
        <w:t>Average daily food intake (g/d)</w:t>
      </w:r>
      <w:r w:rsidRPr="00766025">
        <w:rPr>
          <w:rFonts w:ascii="Arial" w:hAnsi="Arial" w:cs="Arial"/>
          <w:kern w:val="0"/>
          <w:sz w:val="28"/>
          <w:szCs w:val="28"/>
        </w:rPr>
        <w:t>.</w:t>
      </w:r>
      <w:r w:rsidRPr="00766025">
        <w:rPr>
          <w:rFonts w:ascii="Arial" w:hAnsi="Arial" w:cs="Arial"/>
          <w:sz w:val="28"/>
          <w:szCs w:val="28"/>
        </w:rPr>
        <w:t xml:space="preserve"> (</w:t>
      </w:r>
      <w:proofErr w:type="spellStart"/>
      <w:r w:rsidRPr="00766025">
        <w:rPr>
          <w:rFonts w:ascii="Arial" w:hAnsi="Arial" w:cs="Arial"/>
          <w:sz w:val="28"/>
          <w:szCs w:val="28"/>
        </w:rPr>
        <w:t>i</w:t>
      </w:r>
      <w:proofErr w:type="spellEnd"/>
      <w:r w:rsidRPr="00766025">
        <w:rPr>
          <w:rFonts w:ascii="Arial" w:hAnsi="Arial" w:cs="Arial"/>
          <w:sz w:val="28"/>
          <w:szCs w:val="28"/>
        </w:rPr>
        <w:t>-k)</w:t>
      </w:r>
      <w:r w:rsidRPr="00766025">
        <w:rPr>
          <w:rFonts w:ascii="Arial" w:hAnsi="Arial" w:cs="Arial"/>
          <w:kern w:val="0"/>
          <w:sz w:val="28"/>
          <w:szCs w:val="28"/>
        </w:rPr>
        <w:t xml:space="preserve"> </w:t>
      </w:r>
      <w:proofErr w:type="spellStart"/>
      <w:r w:rsidRPr="00766025">
        <w:rPr>
          <w:rFonts w:ascii="Arial" w:hAnsi="Arial" w:cs="Arial"/>
          <w:kern w:val="0"/>
          <w:sz w:val="28"/>
          <w:szCs w:val="28"/>
        </w:rPr>
        <w:t>CP</w:t>
      </w:r>
      <w:r w:rsidRPr="00766025">
        <w:rPr>
          <w:rFonts w:ascii="Arial" w:hAnsi="Arial" w:cs="Arial"/>
          <w:bCs/>
          <w:sz w:val="28"/>
          <w:szCs w:val="28"/>
          <w:vertAlign w:val="superscript"/>
        </w:rPr>
        <w:t>flox</w:t>
      </w:r>
      <w:proofErr w:type="spellEnd"/>
      <w:r w:rsidRPr="00766025">
        <w:rPr>
          <w:rFonts w:ascii="Arial" w:hAnsi="Arial" w:cs="Arial"/>
          <w:bCs/>
          <w:sz w:val="28"/>
          <w:szCs w:val="28"/>
          <w:vertAlign w:val="superscript"/>
        </w:rPr>
        <w:t>/</w:t>
      </w:r>
      <w:proofErr w:type="spellStart"/>
      <w:r w:rsidRPr="00766025">
        <w:rPr>
          <w:rFonts w:ascii="Arial" w:hAnsi="Arial" w:cs="Arial"/>
          <w:bCs/>
          <w:sz w:val="28"/>
          <w:szCs w:val="28"/>
          <w:vertAlign w:val="superscript"/>
        </w:rPr>
        <w:t>flox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 Mice (Fed with a HFD for 8 weeks) were injected with AAV-Cre (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CP</w:t>
      </w:r>
      <w:r w:rsidRPr="00766025">
        <w:rPr>
          <w:rFonts w:ascii="Arial" w:hAnsi="Arial" w:cs="Arial"/>
          <w:bCs/>
          <w:sz w:val="28"/>
          <w:szCs w:val="28"/>
          <w:vertAlign w:val="superscript"/>
        </w:rPr>
        <w:t>f</w:t>
      </w:r>
      <w:proofErr w:type="spellEnd"/>
      <w:r w:rsidRPr="00766025">
        <w:rPr>
          <w:rFonts w:ascii="Arial" w:hAnsi="Arial" w:cs="Arial"/>
          <w:bCs/>
          <w:sz w:val="28"/>
          <w:szCs w:val="28"/>
          <w:vertAlign w:val="superscript"/>
        </w:rPr>
        <w:t>/f</w:t>
      </w:r>
      <w:r w:rsidRPr="00766025">
        <w:rPr>
          <w:rFonts w:ascii="Arial" w:hAnsi="Arial" w:cs="Arial"/>
          <w:bCs/>
          <w:sz w:val="28"/>
          <w:szCs w:val="28"/>
        </w:rPr>
        <w:t>-AAV-GFP) or AAV-GFP (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CP</w:t>
      </w:r>
      <w:r w:rsidRPr="00766025">
        <w:rPr>
          <w:rFonts w:ascii="Arial" w:hAnsi="Arial" w:cs="Arial"/>
          <w:bCs/>
          <w:sz w:val="28"/>
          <w:szCs w:val="28"/>
          <w:vertAlign w:val="superscript"/>
        </w:rPr>
        <w:t>f</w:t>
      </w:r>
      <w:proofErr w:type="spellEnd"/>
      <w:r w:rsidRPr="00766025">
        <w:rPr>
          <w:rFonts w:ascii="Arial" w:hAnsi="Arial" w:cs="Arial"/>
          <w:bCs/>
          <w:sz w:val="28"/>
          <w:szCs w:val="28"/>
          <w:vertAlign w:val="superscript"/>
        </w:rPr>
        <w:t>/f</w:t>
      </w:r>
      <w:r w:rsidRPr="00766025">
        <w:rPr>
          <w:rFonts w:ascii="Arial" w:hAnsi="Arial" w:cs="Arial"/>
          <w:bCs/>
          <w:sz w:val="28"/>
          <w:szCs w:val="28"/>
        </w:rPr>
        <w:t>-AAV-Cre) (n=6 in each group). (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i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) Representative images of Oil Red O- and H&amp;E-stained liver sections; H&amp;E staining scale bar: 100 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μm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, Oil Red O staining scale bar: 50 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μm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>. (j-k) Insulin tolerance tests (j) and glucose tolerance tests (k) were performed after HFD feeding for 12 weeks. (l-p) CP</w:t>
      </w:r>
      <w:r w:rsidRPr="00766025">
        <w:rPr>
          <w:rFonts w:ascii="Arial" w:hAnsi="Arial" w:cs="Arial"/>
          <w:bCs/>
          <w:i/>
          <w:iCs/>
          <w:sz w:val="28"/>
          <w:szCs w:val="28"/>
        </w:rPr>
        <w:t xml:space="preserve"> </w:t>
      </w:r>
      <w:r w:rsidRPr="00766025">
        <w:rPr>
          <w:rFonts w:ascii="Arial" w:hAnsi="Arial" w:cs="Arial"/>
          <w:bCs/>
          <w:sz w:val="28"/>
          <w:szCs w:val="28"/>
        </w:rPr>
        <w:t>knockout mice (LKO) and control littermates (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CP</w:t>
      </w:r>
      <w:r w:rsidRPr="00766025">
        <w:rPr>
          <w:rFonts w:ascii="Arial" w:hAnsi="Arial" w:cs="Arial"/>
          <w:bCs/>
          <w:sz w:val="28"/>
          <w:szCs w:val="28"/>
          <w:vertAlign w:val="superscript"/>
        </w:rPr>
        <w:t>f</w:t>
      </w:r>
      <w:proofErr w:type="spellEnd"/>
      <w:r w:rsidRPr="00766025">
        <w:rPr>
          <w:rFonts w:ascii="Arial" w:hAnsi="Arial" w:cs="Arial"/>
          <w:bCs/>
          <w:sz w:val="28"/>
          <w:szCs w:val="28"/>
          <w:vertAlign w:val="superscript"/>
        </w:rPr>
        <w:t>/f</w:t>
      </w:r>
      <w:r w:rsidRPr="00766025">
        <w:rPr>
          <w:rFonts w:ascii="Arial" w:hAnsi="Arial" w:cs="Arial"/>
          <w:bCs/>
          <w:sz w:val="28"/>
          <w:szCs w:val="28"/>
        </w:rPr>
        <w:t xml:space="preserve">, CON) fed a HFD for 20 weeks. (l) CP protein levels in mouse liver. (m-n) Insulin tolerance tests (ITT) (m) and glucose tolerance tests (GTT) (n) after 12 weeks of HFD feeding. (o) </w:t>
      </w:r>
      <w:r w:rsidRPr="00766025">
        <w:rPr>
          <w:rFonts w:ascii="Arial" w:hAnsi="Arial" w:cs="Arial"/>
          <w:sz w:val="28"/>
          <w:szCs w:val="28"/>
        </w:rPr>
        <w:t xml:space="preserve">Body weight (g). (p) </w:t>
      </w:r>
      <w:r w:rsidRPr="00766025">
        <w:rPr>
          <w:rFonts w:ascii="Arial" w:hAnsi="Arial" w:cs="Arial"/>
          <w:bCs/>
          <w:sz w:val="28"/>
          <w:szCs w:val="28"/>
        </w:rPr>
        <w:t>Average daily food intake (g/d)</w:t>
      </w:r>
      <w:r w:rsidRPr="00766025">
        <w:rPr>
          <w:rFonts w:ascii="Arial" w:hAnsi="Arial" w:cs="Arial"/>
          <w:sz w:val="28"/>
          <w:szCs w:val="28"/>
        </w:rPr>
        <w:t xml:space="preserve">. (q) </w:t>
      </w:r>
      <w:r w:rsidRPr="00766025">
        <w:rPr>
          <w:rFonts w:ascii="Arial" w:hAnsi="Arial" w:cs="Arial"/>
          <w:bCs/>
          <w:sz w:val="28"/>
          <w:szCs w:val="28"/>
        </w:rPr>
        <w:t xml:space="preserve">mRNA levels of </w:t>
      </w:r>
      <w:r w:rsidRPr="00766025">
        <w:rPr>
          <w:rFonts w:ascii="Arial" w:hAnsi="Arial" w:cs="Arial"/>
          <w:sz w:val="28"/>
          <w:szCs w:val="28"/>
        </w:rPr>
        <w:t>lipogenic</w:t>
      </w:r>
      <w:r w:rsidRPr="00766025">
        <w:rPr>
          <w:rFonts w:ascii="Arial" w:hAnsi="Arial" w:cs="Arial"/>
          <w:bCs/>
          <w:sz w:val="28"/>
          <w:szCs w:val="28"/>
        </w:rPr>
        <w:t xml:space="preserve"> genes </w:t>
      </w:r>
      <w:r w:rsidRPr="00766025">
        <w:rPr>
          <w:rFonts w:ascii="Arial" w:hAnsi="Arial" w:cs="Arial"/>
          <w:bCs/>
          <w:kern w:val="0"/>
          <w:sz w:val="28"/>
          <w:szCs w:val="28"/>
        </w:rPr>
        <w:t>in primary hepatocytes treated with Ad-</w:t>
      </w:r>
      <w:proofErr w:type="spellStart"/>
      <w:r w:rsidRPr="00766025">
        <w:rPr>
          <w:rFonts w:ascii="Arial" w:hAnsi="Arial" w:cs="Arial"/>
          <w:bCs/>
          <w:kern w:val="0"/>
          <w:sz w:val="28"/>
          <w:szCs w:val="28"/>
        </w:rPr>
        <w:t>shCON</w:t>
      </w:r>
      <w:proofErr w:type="spellEnd"/>
      <w:r w:rsidRPr="00766025">
        <w:rPr>
          <w:rFonts w:ascii="Arial" w:hAnsi="Arial" w:cs="Arial"/>
          <w:bCs/>
          <w:kern w:val="0"/>
          <w:sz w:val="28"/>
          <w:szCs w:val="28"/>
        </w:rPr>
        <w:t xml:space="preserve"> or Ad-</w:t>
      </w:r>
      <w:proofErr w:type="spellStart"/>
      <w:r w:rsidRPr="00766025">
        <w:rPr>
          <w:rFonts w:ascii="Arial" w:hAnsi="Arial" w:cs="Arial"/>
          <w:bCs/>
          <w:kern w:val="0"/>
          <w:sz w:val="28"/>
          <w:szCs w:val="28"/>
        </w:rPr>
        <w:t>shCP</w:t>
      </w:r>
      <w:proofErr w:type="spellEnd"/>
      <w:r w:rsidRPr="00766025">
        <w:rPr>
          <w:rFonts w:ascii="Arial" w:hAnsi="Arial" w:cs="Arial"/>
          <w:bCs/>
          <w:kern w:val="0"/>
          <w:sz w:val="28"/>
          <w:szCs w:val="28"/>
        </w:rPr>
        <w:t xml:space="preserve">. </w:t>
      </w:r>
    </w:p>
    <w:p w14:paraId="14A62C01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28"/>
          <w:szCs w:val="28"/>
        </w:rPr>
      </w:pPr>
      <w:r w:rsidRPr="00766025">
        <w:rPr>
          <w:rFonts w:ascii="Arial" w:hAnsi="Arial" w:cs="Arial"/>
          <w:bCs/>
          <w:sz w:val="28"/>
          <w:szCs w:val="28"/>
        </w:rPr>
        <w:t>Data are presented as mean ± SEM. *p&lt;0.05, **p&lt;0.01, ***p&lt;0.001 compared with the control group. ns, not significant.</w:t>
      </w:r>
    </w:p>
    <w:p w14:paraId="45F2E965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outlineLvl w:val="0"/>
        <w:rPr>
          <w:rFonts w:ascii="Arial" w:hAnsi="Arial" w:cs="Arial"/>
          <w:b/>
          <w:bCs/>
          <w:sz w:val="28"/>
          <w:szCs w:val="28"/>
        </w:rPr>
      </w:pPr>
      <w:r w:rsidRPr="00766025">
        <w:rPr>
          <w:rFonts w:ascii="Arial" w:hAnsi="Arial" w:cs="Arial"/>
          <w:noProof/>
        </w:rPr>
        <w:lastRenderedPageBreak/>
        <w:drawing>
          <wp:inline distT="0" distB="0" distL="0" distR="0" wp14:anchorId="20E44C1C" wp14:editId="7148943A">
            <wp:extent cx="5274310" cy="2861310"/>
            <wp:effectExtent l="0" t="0" r="2540" b="0"/>
            <wp:docPr id="11" name="图片 11" descr="Chart, bar 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hart, bar chart, waterfall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6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25">
        <w:rPr>
          <w:rFonts w:ascii="Arial" w:hAnsi="Arial" w:cs="Arial"/>
          <w:b/>
          <w:bCs/>
          <w:kern w:val="24"/>
          <w:sz w:val="28"/>
          <w:szCs w:val="28"/>
        </w:rPr>
        <w:t>Extended Data Fig. 3 |</w:t>
      </w:r>
      <w:r w:rsidRPr="00766025">
        <w:rPr>
          <w:rFonts w:ascii="Arial" w:hAnsi="Arial" w:cs="Arial"/>
          <w:bCs/>
          <w:sz w:val="28"/>
          <w:szCs w:val="28"/>
        </w:rPr>
        <w:t xml:space="preserve"> </w:t>
      </w:r>
      <w:r w:rsidRPr="00766025">
        <w:rPr>
          <w:rFonts w:ascii="Arial" w:hAnsi="Arial" w:cs="Arial"/>
          <w:b/>
          <w:bCs/>
          <w:sz w:val="28"/>
          <w:szCs w:val="28"/>
        </w:rPr>
        <w:t>CP regulates fatty acid oxidation genes via the AMPK-PGC1</w:t>
      </w:r>
      <w:r w:rsidRPr="00766025">
        <w:rPr>
          <w:rFonts w:ascii="Arial" w:eastAsia="SimSun" w:hAnsi="Arial" w:cs="Arial"/>
          <w:b/>
          <w:sz w:val="28"/>
          <w:szCs w:val="28"/>
        </w:rPr>
        <w:t>α</w:t>
      </w:r>
      <w:r w:rsidRPr="00766025">
        <w:rPr>
          <w:rFonts w:ascii="Arial" w:hAnsi="Arial" w:cs="Arial"/>
          <w:b/>
          <w:bCs/>
          <w:sz w:val="28"/>
          <w:szCs w:val="28"/>
        </w:rPr>
        <w:t xml:space="preserve"> axis, Related to Fig. 3.</w:t>
      </w:r>
    </w:p>
    <w:p w14:paraId="12F0A907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28"/>
          <w:szCs w:val="28"/>
        </w:rPr>
      </w:pPr>
      <w:r w:rsidRPr="00766025">
        <w:rPr>
          <w:rFonts w:ascii="Arial" w:hAnsi="Arial" w:cs="Arial"/>
          <w:bCs/>
          <w:sz w:val="28"/>
          <w:szCs w:val="28"/>
        </w:rPr>
        <w:t xml:space="preserve">(a-b) </w:t>
      </w:r>
      <w:r w:rsidRPr="00766025">
        <w:rPr>
          <w:rFonts w:ascii="Arial" w:hAnsi="Arial" w:cs="Arial"/>
          <w:bCs/>
          <w:i/>
          <w:sz w:val="28"/>
          <w:szCs w:val="28"/>
        </w:rPr>
        <w:t>Creb3l3</w:t>
      </w:r>
      <w:r w:rsidRPr="00766025">
        <w:rPr>
          <w:rFonts w:ascii="Arial" w:hAnsi="Arial" w:cs="Arial"/>
          <w:bCs/>
          <w:sz w:val="28"/>
          <w:szCs w:val="28"/>
        </w:rPr>
        <w:t xml:space="preserve"> (a) and </w:t>
      </w:r>
      <w:r w:rsidRPr="00766025">
        <w:rPr>
          <w:rFonts w:ascii="Arial" w:hAnsi="Arial" w:cs="Arial"/>
          <w:bCs/>
          <w:i/>
          <w:iCs/>
          <w:sz w:val="28"/>
          <w:szCs w:val="28"/>
        </w:rPr>
        <w:t>Cp</w:t>
      </w:r>
      <w:r w:rsidRPr="00766025">
        <w:rPr>
          <w:rFonts w:ascii="Arial" w:hAnsi="Arial" w:cs="Arial"/>
          <w:bCs/>
          <w:sz w:val="28"/>
          <w:szCs w:val="28"/>
        </w:rPr>
        <w:t xml:space="preserve"> </w:t>
      </w:r>
      <w:r w:rsidRPr="00766025">
        <w:rPr>
          <w:rFonts w:ascii="Arial" w:eastAsia="SimSun" w:hAnsi="Arial" w:cs="Arial"/>
          <w:kern w:val="0"/>
          <w:sz w:val="28"/>
          <w:szCs w:val="28"/>
        </w:rPr>
        <w:t xml:space="preserve">(b) </w:t>
      </w:r>
      <w:r w:rsidRPr="00766025">
        <w:rPr>
          <w:rFonts w:ascii="Arial" w:hAnsi="Arial" w:cs="Arial"/>
          <w:bCs/>
          <w:sz w:val="28"/>
          <w:szCs w:val="28"/>
        </w:rPr>
        <w:t>mRNA levels in CP-knockdown primary hepatocytes treated with JNK inhibitor (SP), PKA inhibitor (H89), SIRT1 inhibitor (Ex527) and AMPK inhibitor (CC). (c) OCR in primary hepatocytes</w:t>
      </w:r>
      <w:r w:rsidRPr="00766025" w:rsidDel="0048684F">
        <w:rPr>
          <w:rFonts w:ascii="Arial" w:hAnsi="Arial" w:cs="Arial"/>
          <w:bCs/>
          <w:sz w:val="28"/>
          <w:szCs w:val="28"/>
        </w:rPr>
        <w:t xml:space="preserve"> </w:t>
      </w:r>
      <w:r w:rsidRPr="00766025">
        <w:rPr>
          <w:rFonts w:ascii="Arial" w:hAnsi="Arial" w:cs="Arial"/>
          <w:bCs/>
          <w:sz w:val="28"/>
          <w:szCs w:val="28"/>
        </w:rPr>
        <w:t>from CON and LKO mice and treated with CC for 24 h. (d) Western blot analysis of CP and AMPK</w:t>
      </w:r>
      <w:r w:rsidRPr="00766025">
        <w:rPr>
          <w:rFonts w:ascii="Arial" w:eastAsia="SimSun" w:hAnsi="Arial" w:cs="Arial"/>
          <w:bCs/>
          <w:sz w:val="28"/>
          <w:szCs w:val="28"/>
        </w:rPr>
        <w:t>α</w:t>
      </w:r>
      <w:r w:rsidRPr="00766025">
        <w:rPr>
          <w:rFonts w:ascii="Arial" w:hAnsi="Arial" w:cs="Arial"/>
          <w:bCs/>
          <w:sz w:val="28"/>
          <w:szCs w:val="28"/>
        </w:rPr>
        <w:t xml:space="preserve"> protein levels in primary hepatocytes. The primary hepatocytes were isolated from AMPK</w:t>
      </w:r>
      <w:r w:rsidRPr="00766025">
        <w:rPr>
          <w:rFonts w:ascii="Arial" w:eastAsia="SimSun" w:hAnsi="Arial" w:cs="Arial"/>
          <w:bCs/>
          <w:sz w:val="28"/>
          <w:szCs w:val="28"/>
        </w:rPr>
        <w:t>α</w:t>
      </w:r>
      <w:r w:rsidRPr="00766025">
        <w:rPr>
          <w:rFonts w:ascii="Arial" w:hAnsi="Arial" w:cs="Arial"/>
          <w:bCs/>
          <w:sz w:val="28"/>
          <w:szCs w:val="28"/>
        </w:rPr>
        <w:t>1/</w:t>
      </w:r>
      <w:r w:rsidRPr="00766025">
        <w:rPr>
          <w:rFonts w:ascii="Arial" w:eastAsia="SimSun" w:hAnsi="Arial" w:cs="Arial"/>
          <w:bCs/>
          <w:sz w:val="28"/>
          <w:szCs w:val="28"/>
        </w:rPr>
        <w:t>α</w:t>
      </w:r>
      <w:r w:rsidRPr="00766025">
        <w:rPr>
          <w:rFonts w:ascii="Arial" w:hAnsi="Arial" w:cs="Arial"/>
          <w:bCs/>
          <w:sz w:val="28"/>
          <w:szCs w:val="28"/>
        </w:rPr>
        <w:t>2 DKO (AMPK-DKO) or AMPK</w:t>
      </w:r>
      <w:r w:rsidRPr="00766025">
        <w:rPr>
          <w:rFonts w:ascii="Arial" w:eastAsia="SimSun" w:hAnsi="Arial" w:cs="Arial"/>
          <w:bCs/>
          <w:sz w:val="28"/>
          <w:szCs w:val="28"/>
        </w:rPr>
        <w:t>α</w:t>
      </w:r>
      <w:r w:rsidRPr="00766025">
        <w:rPr>
          <w:rFonts w:ascii="Arial" w:hAnsi="Arial" w:cs="Arial"/>
          <w:bCs/>
          <w:sz w:val="28"/>
          <w:szCs w:val="28"/>
        </w:rPr>
        <w:t>1</w:t>
      </w:r>
      <w:r w:rsidRPr="00766025">
        <w:rPr>
          <w:rFonts w:ascii="Arial" w:hAnsi="Arial" w:cs="Arial"/>
          <w:bCs/>
          <w:sz w:val="28"/>
          <w:szCs w:val="28"/>
          <w:vertAlign w:val="superscript"/>
        </w:rPr>
        <w:t>flox/</w:t>
      </w:r>
      <w:proofErr w:type="spellStart"/>
      <w:r w:rsidRPr="00766025">
        <w:rPr>
          <w:rFonts w:ascii="Arial" w:hAnsi="Arial" w:cs="Arial"/>
          <w:bCs/>
          <w:sz w:val="28"/>
          <w:szCs w:val="28"/>
          <w:vertAlign w:val="superscript"/>
        </w:rPr>
        <w:t>flox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 and </w:t>
      </w:r>
      <w:r w:rsidRPr="00766025">
        <w:rPr>
          <w:rFonts w:ascii="Arial" w:eastAsia="SimSun" w:hAnsi="Arial" w:cs="Arial"/>
          <w:bCs/>
          <w:sz w:val="28"/>
          <w:szCs w:val="28"/>
        </w:rPr>
        <w:t>α</w:t>
      </w:r>
      <w:r w:rsidRPr="00766025">
        <w:rPr>
          <w:rFonts w:ascii="Arial" w:hAnsi="Arial" w:cs="Arial"/>
          <w:bCs/>
          <w:sz w:val="28"/>
          <w:szCs w:val="28"/>
        </w:rPr>
        <w:t>2</w:t>
      </w:r>
      <w:r w:rsidRPr="00766025">
        <w:rPr>
          <w:rFonts w:ascii="Arial" w:hAnsi="Arial" w:cs="Arial"/>
          <w:bCs/>
          <w:sz w:val="28"/>
          <w:szCs w:val="28"/>
          <w:vertAlign w:val="superscript"/>
        </w:rPr>
        <w:t>flox/</w:t>
      </w:r>
      <w:proofErr w:type="spellStart"/>
      <w:r w:rsidRPr="00766025">
        <w:rPr>
          <w:rFonts w:ascii="Arial" w:hAnsi="Arial" w:cs="Arial"/>
          <w:bCs/>
          <w:sz w:val="28"/>
          <w:szCs w:val="28"/>
          <w:vertAlign w:val="superscript"/>
        </w:rPr>
        <w:t>flox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 (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AMPK</w:t>
      </w:r>
      <w:r w:rsidRPr="00766025">
        <w:rPr>
          <w:rFonts w:ascii="Arial" w:hAnsi="Arial" w:cs="Arial"/>
          <w:bCs/>
          <w:sz w:val="28"/>
          <w:szCs w:val="28"/>
          <w:vertAlign w:val="superscript"/>
        </w:rPr>
        <w:t>f</w:t>
      </w:r>
      <w:proofErr w:type="spellEnd"/>
      <w:r w:rsidRPr="00766025">
        <w:rPr>
          <w:rFonts w:ascii="Arial" w:hAnsi="Arial" w:cs="Arial"/>
          <w:bCs/>
          <w:sz w:val="28"/>
          <w:szCs w:val="28"/>
          <w:vertAlign w:val="superscript"/>
        </w:rPr>
        <w:t>/f</w:t>
      </w:r>
      <w:r w:rsidRPr="00766025">
        <w:rPr>
          <w:rFonts w:ascii="Arial" w:hAnsi="Arial" w:cs="Arial"/>
          <w:bCs/>
          <w:sz w:val="28"/>
          <w:szCs w:val="28"/>
        </w:rPr>
        <w:t>) mice, followed by the infection with Ad-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shCP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 or Ad-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shCON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>. Triangle indicates CP. (e) Quantification of Oil Red O staining in Fig. 3f.</w:t>
      </w:r>
    </w:p>
    <w:p w14:paraId="35912325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28"/>
          <w:szCs w:val="28"/>
        </w:rPr>
      </w:pPr>
      <w:r w:rsidRPr="00766025">
        <w:rPr>
          <w:rFonts w:ascii="Arial" w:hAnsi="Arial" w:cs="Arial"/>
          <w:bCs/>
          <w:sz w:val="28"/>
          <w:szCs w:val="28"/>
        </w:rPr>
        <w:t>Data are presented as mean ± SEM. *p&lt;0.05, **p&lt;0.01, ***p&lt;0.001 compared with the control group.</w:t>
      </w:r>
    </w:p>
    <w:p w14:paraId="1BFE25B9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outlineLvl w:val="0"/>
        <w:rPr>
          <w:rFonts w:ascii="Arial" w:hAnsi="Arial" w:cs="Arial"/>
          <w:b/>
          <w:bCs/>
          <w:sz w:val="28"/>
          <w:szCs w:val="28"/>
        </w:rPr>
      </w:pPr>
      <w:r w:rsidRPr="00766025">
        <w:rPr>
          <w:rFonts w:ascii="Arial" w:hAnsi="Arial" w:cs="Arial"/>
          <w:noProof/>
        </w:rPr>
        <w:lastRenderedPageBreak/>
        <w:drawing>
          <wp:inline distT="0" distB="0" distL="0" distR="0" wp14:anchorId="086B6EE8" wp14:editId="1C8A7B3F">
            <wp:extent cx="5274310" cy="4263390"/>
            <wp:effectExtent l="0" t="0" r="2540" b="3810"/>
            <wp:docPr id="12" name="图片 1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 picture containing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6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25">
        <w:rPr>
          <w:rFonts w:ascii="Arial" w:hAnsi="Arial" w:cs="Arial"/>
          <w:b/>
          <w:bCs/>
          <w:kern w:val="24"/>
          <w:sz w:val="28"/>
          <w:szCs w:val="28"/>
        </w:rPr>
        <w:t>Extended Data Fig. 4 |</w:t>
      </w:r>
      <w:r w:rsidRPr="00766025">
        <w:rPr>
          <w:rFonts w:ascii="Arial" w:hAnsi="Arial" w:cs="Arial"/>
          <w:b/>
          <w:sz w:val="28"/>
          <w:szCs w:val="28"/>
        </w:rPr>
        <w:t xml:space="preserve"> </w:t>
      </w:r>
      <w:r w:rsidRPr="00766025">
        <w:rPr>
          <w:rFonts w:ascii="Arial" w:hAnsi="Arial" w:cs="Arial"/>
          <w:b/>
          <w:bCs/>
          <w:sz w:val="28"/>
          <w:szCs w:val="28"/>
        </w:rPr>
        <w:t>CP regulates fatty acid oxidation genes via the AMPK-PGC1</w:t>
      </w:r>
      <w:r w:rsidRPr="00766025">
        <w:rPr>
          <w:rFonts w:ascii="Arial" w:eastAsia="SimSun" w:hAnsi="Arial" w:cs="Arial"/>
          <w:b/>
          <w:bCs/>
          <w:sz w:val="28"/>
          <w:szCs w:val="28"/>
        </w:rPr>
        <w:t>α</w:t>
      </w:r>
      <w:r w:rsidRPr="00766025">
        <w:rPr>
          <w:rFonts w:ascii="Arial" w:hAnsi="Arial" w:cs="Arial"/>
          <w:b/>
          <w:bCs/>
          <w:sz w:val="28"/>
          <w:szCs w:val="28"/>
        </w:rPr>
        <w:t xml:space="preserve"> axis, Related to Fig. 3.</w:t>
      </w:r>
    </w:p>
    <w:p w14:paraId="7FF9F788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eastAsia="DengXian" w:hAnsi="Arial" w:cs="Arial"/>
          <w:sz w:val="28"/>
          <w:szCs w:val="28"/>
        </w:rPr>
      </w:pPr>
      <w:r w:rsidRPr="00766025">
        <w:rPr>
          <w:rFonts w:ascii="Arial" w:hAnsi="Arial" w:cs="Arial"/>
          <w:bCs/>
          <w:sz w:val="28"/>
          <w:szCs w:val="28"/>
        </w:rPr>
        <w:t xml:space="preserve">(a-b) Luciferase activity of reporters containing </w:t>
      </w:r>
      <w:r w:rsidRPr="00766025">
        <w:rPr>
          <w:rFonts w:ascii="Arial" w:eastAsia="DengXian" w:hAnsi="Arial" w:cs="Arial"/>
          <w:sz w:val="28"/>
          <w:szCs w:val="28"/>
        </w:rPr>
        <w:t>PPARα response element (PPARE) (</w:t>
      </w:r>
      <w:r w:rsidRPr="00766025">
        <w:rPr>
          <w:rFonts w:ascii="Arial" w:eastAsia="DengXian" w:hAnsi="Arial" w:cs="Arial"/>
          <w:i/>
          <w:iCs/>
          <w:sz w:val="28"/>
          <w:szCs w:val="28"/>
        </w:rPr>
        <w:t>PPARE-Luc</w:t>
      </w:r>
      <w:r w:rsidRPr="00766025">
        <w:rPr>
          <w:rFonts w:ascii="Arial" w:eastAsia="DengXian" w:hAnsi="Arial" w:cs="Arial"/>
          <w:sz w:val="28"/>
          <w:szCs w:val="28"/>
        </w:rPr>
        <w:t>) and the promoter</w:t>
      </w:r>
      <w:r w:rsidRPr="00766025">
        <w:rPr>
          <w:rFonts w:ascii="Arial" w:hAnsi="Arial" w:cs="Arial"/>
          <w:sz w:val="28"/>
          <w:szCs w:val="28"/>
        </w:rPr>
        <w:t xml:space="preserve"> </w:t>
      </w:r>
      <w:r w:rsidRPr="00766025">
        <w:rPr>
          <w:rFonts w:ascii="Arial" w:eastAsia="DengXian" w:hAnsi="Arial" w:cs="Arial"/>
          <w:sz w:val="28"/>
          <w:szCs w:val="28"/>
        </w:rPr>
        <w:t xml:space="preserve">regions of </w:t>
      </w:r>
      <w:r w:rsidRPr="00766025">
        <w:rPr>
          <w:rFonts w:ascii="Arial" w:eastAsia="DengXian" w:hAnsi="Arial" w:cs="Arial"/>
          <w:i/>
          <w:iCs/>
          <w:sz w:val="28"/>
          <w:szCs w:val="28"/>
        </w:rPr>
        <w:t xml:space="preserve">CPT1α </w:t>
      </w:r>
      <w:r w:rsidRPr="00766025">
        <w:rPr>
          <w:rFonts w:ascii="Arial" w:eastAsia="DengXian" w:hAnsi="Arial" w:cs="Arial"/>
          <w:sz w:val="28"/>
          <w:szCs w:val="28"/>
        </w:rPr>
        <w:t>(</w:t>
      </w:r>
      <w:r w:rsidRPr="00766025">
        <w:rPr>
          <w:rFonts w:ascii="Arial" w:eastAsia="DengXian" w:hAnsi="Arial" w:cs="Arial"/>
          <w:i/>
          <w:iCs/>
          <w:sz w:val="28"/>
          <w:szCs w:val="28"/>
        </w:rPr>
        <w:t>CPT1α-Luc</w:t>
      </w:r>
      <w:r w:rsidRPr="00766025">
        <w:rPr>
          <w:rFonts w:ascii="Arial" w:eastAsia="DengXian" w:hAnsi="Arial" w:cs="Arial"/>
          <w:sz w:val="28"/>
          <w:szCs w:val="28"/>
        </w:rPr>
        <w:t>)</w:t>
      </w:r>
      <w:r w:rsidRPr="00766025">
        <w:rPr>
          <w:rFonts w:ascii="Arial" w:eastAsia="DengXian" w:hAnsi="Arial" w:cs="Arial"/>
          <w:i/>
          <w:iCs/>
          <w:sz w:val="28"/>
          <w:szCs w:val="28"/>
        </w:rPr>
        <w:t xml:space="preserve"> </w:t>
      </w:r>
      <w:r w:rsidRPr="00766025">
        <w:rPr>
          <w:rFonts w:ascii="Arial" w:eastAsia="DengXian" w:hAnsi="Arial" w:cs="Arial"/>
          <w:sz w:val="28"/>
          <w:szCs w:val="28"/>
        </w:rPr>
        <w:t xml:space="preserve">and </w:t>
      </w:r>
      <w:r w:rsidRPr="00766025">
        <w:rPr>
          <w:rFonts w:ascii="Arial" w:eastAsia="DengXian" w:hAnsi="Arial" w:cs="Arial"/>
          <w:i/>
          <w:iCs/>
          <w:sz w:val="28"/>
          <w:szCs w:val="28"/>
        </w:rPr>
        <w:t xml:space="preserve">HMGCS2 </w:t>
      </w:r>
      <w:r w:rsidRPr="00766025">
        <w:rPr>
          <w:rFonts w:ascii="Arial" w:eastAsia="DengXian" w:hAnsi="Arial" w:cs="Arial"/>
          <w:sz w:val="28"/>
          <w:szCs w:val="28"/>
        </w:rPr>
        <w:t>(</w:t>
      </w:r>
      <w:r w:rsidRPr="00766025">
        <w:rPr>
          <w:rFonts w:ascii="Arial" w:eastAsia="DengXian" w:hAnsi="Arial" w:cs="Arial"/>
          <w:i/>
          <w:iCs/>
          <w:sz w:val="28"/>
          <w:szCs w:val="28"/>
        </w:rPr>
        <w:t>HMGCS2-Luc</w:t>
      </w:r>
      <w:r w:rsidRPr="00766025">
        <w:rPr>
          <w:rFonts w:ascii="Arial" w:eastAsia="DengXian" w:hAnsi="Arial" w:cs="Arial"/>
          <w:sz w:val="28"/>
          <w:szCs w:val="28"/>
        </w:rPr>
        <w:t xml:space="preserve">) </w:t>
      </w:r>
      <w:r w:rsidRPr="00766025">
        <w:rPr>
          <w:rFonts w:ascii="Arial" w:eastAsia="SimSun" w:hAnsi="Arial" w:cs="Arial"/>
          <w:bCs/>
          <w:sz w:val="28"/>
          <w:szCs w:val="28"/>
        </w:rPr>
        <w:t>in CP-knockdown (a) and CP-overexpression (b) AML12 cells. (c-d) mRNA levels of FAO</w:t>
      </w:r>
      <w:r w:rsidRPr="00766025">
        <w:rPr>
          <w:rFonts w:ascii="Arial" w:hAnsi="Arial" w:cs="Arial"/>
          <w:bCs/>
          <w:sz w:val="28"/>
          <w:szCs w:val="28"/>
        </w:rPr>
        <w:t xml:space="preserve"> genes in CP and PGC1</w:t>
      </w:r>
      <w:r w:rsidRPr="00766025">
        <w:rPr>
          <w:rFonts w:ascii="Arial" w:eastAsia="SimSun" w:hAnsi="Arial" w:cs="Arial"/>
          <w:bCs/>
          <w:sz w:val="28"/>
          <w:szCs w:val="28"/>
        </w:rPr>
        <w:t>α (c) double knockdown or</w:t>
      </w:r>
      <w:r w:rsidRPr="00766025">
        <w:rPr>
          <w:rFonts w:ascii="Arial" w:hAnsi="Arial" w:cs="Arial"/>
          <w:bCs/>
          <w:sz w:val="28"/>
          <w:szCs w:val="28"/>
        </w:rPr>
        <w:t xml:space="preserve"> CP and</w:t>
      </w:r>
      <w:r w:rsidRPr="00766025">
        <w:rPr>
          <w:rFonts w:ascii="Arial" w:eastAsia="SimSun" w:hAnsi="Arial" w:cs="Arial"/>
          <w:bCs/>
          <w:sz w:val="28"/>
          <w:szCs w:val="28"/>
        </w:rPr>
        <w:t xml:space="preserve"> </w:t>
      </w:r>
      <w:r w:rsidRPr="00766025">
        <w:rPr>
          <w:rFonts w:ascii="Arial" w:hAnsi="Arial" w:cs="Arial"/>
          <w:bCs/>
          <w:sz w:val="28"/>
          <w:szCs w:val="28"/>
        </w:rPr>
        <w:t>PPAR</w:t>
      </w:r>
      <w:r w:rsidRPr="00766025">
        <w:rPr>
          <w:rFonts w:ascii="Arial" w:eastAsia="SimSun" w:hAnsi="Arial" w:cs="Arial"/>
          <w:bCs/>
          <w:sz w:val="28"/>
          <w:szCs w:val="28"/>
        </w:rPr>
        <w:t xml:space="preserve">α (d) double knockdown </w:t>
      </w:r>
      <w:r w:rsidRPr="00766025">
        <w:rPr>
          <w:rFonts w:ascii="Arial" w:hAnsi="Arial" w:cs="Arial"/>
          <w:sz w:val="28"/>
          <w:szCs w:val="28"/>
        </w:rPr>
        <w:t>AML12 cells</w:t>
      </w:r>
      <w:r w:rsidRPr="00766025">
        <w:rPr>
          <w:rFonts w:ascii="Arial" w:eastAsia="SimSun" w:hAnsi="Arial" w:cs="Arial"/>
          <w:bCs/>
          <w:sz w:val="28"/>
          <w:szCs w:val="28"/>
        </w:rPr>
        <w:t>. (e-f)</w:t>
      </w:r>
      <w:r w:rsidRPr="00766025">
        <w:rPr>
          <w:rFonts w:ascii="Arial" w:hAnsi="Arial" w:cs="Arial"/>
          <w:bCs/>
          <w:sz w:val="28"/>
          <w:szCs w:val="28"/>
        </w:rPr>
        <w:t xml:space="preserve"> Representative images of Oil Red O staining (e) and </w:t>
      </w:r>
      <w:r w:rsidRPr="00766025">
        <w:rPr>
          <w:rFonts w:ascii="Arial" w:hAnsi="Arial" w:cs="Arial"/>
          <w:kern w:val="0"/>
          <w:sz w:val="28"/>
          <w:szCs w:val="28"/>
        </w:rPr>
        <w:t xml:space="preserve">their </w:t>
      </w:r>
      <w:r w:rsidRPr="00766025">
        <w:rPr>
          <w:rFonts w:ascii="Arial" w:hAnsi="Arial" w:cs="Arial"/>
          <w:bCs/>
          <w:sz w:val="28"/>
          <w:szCs w:val="28"/>
        </w:rPr>
        <w:t>quantification (f) in primary hepatocytes from CON and LKO mice treated with a PPAR</w:t>
      </w:r>
      <w:r w:rsidRPr="00766025">
        <w:rPr>
          <w:rFonts w:ascii="Arial" w:eastAsia="SimSun" w:hAnsi="Arial" w:cs="Arial"/>
          <w:bCs/>
          <w:sz w:val="28"/>
          <w:szCs w:val="28"/>
        </w:rPr>
        <w:t>α inhibitor (GW6471)</w:t>
      </w:r>
      <w:r w:rsidRPr="00766025">
        <w:rPr>
          <w:rFonts w:ascii="Arial" w:hAnsi="Arial" w:cs="Arial"/>
          <w:bCs/>
          <w:sz w:val="28"/>
          <w:szCs w:val="28"/>
        </w:rPr>
        <w:t xml:space="preserve">, (scale bar: 50 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μm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). </w:t>
      </w:r>
      <w:r w:rsidRPr="00766025">
        <w:rPr>
          <w:rFonts w:ascii="Arial" w:eastAsia="DengXian" w:hAnsi="Arial" w:cs="Arial"/>
          <w:sz w:val="28"/>
          <w:szCs w:val="28"/>
        </w:rPr>
        <w:t xml:space="preserve">(g-h) The AMP/ATP (g) and ADP/ATP (h) ratio in </w:t>
      </w:r>
      <w:r w:rsidRPr="00766025">
        <w:rPr>
          <w:rFonts w:ascii="Arial" w:hAnsi="Arial" w:cs="Arial"/>
          <w:bCs/>
          <w:sz w:val="28"/>
          <w:szCs w:val="28"/>
        </w:rPr>
        <w:t>the livers of CON and LKO mice.</w:t>
      </w:r>
    </w:p>
    <w:p w14:paraId="339A07A1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28"/>
          <w:szCs w:val="28"/>
        </w:rPr>
      </w:pPr>
      <w:r w:rsidRPr="00766025">
        <w:rPr>
          <w:rFonts w:ascii="Arial" w:hAnsi="Arial" w:cs="Arial"/>
          <w:bCs/>
          <w:sz w:val="28"/>
          <w:szCs w:val="28"/>
        </w:rPr>
        <w:t>Data are presented as mean ± SEM. *p&lt;0.05, **p&lt;0.01, ***p&lt;0.001 compared with the control group.</w:t>
      </w:r>
    </w:p>
    <w:p w14:paraId="372382A1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sz w:val="28"/>
          <w:szCs w:val="28"/>
        </w:rPr>
      </w:pPr>
    </w:p>
    <w:p w14:paraId="68573DD7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28"/>
          <w:szCs w:val="28"/>
        </w:rPr>
      </w:pPr>
      <w:r w:rsidRPr="00766025">
        <w:rPr>
          <w:rFonts w:ascii="Arial" w:hAnsi="Arial" w:cs="Arial"/>
          <w:noProof/>
        </w:rPr>
        <w:drawing>
          <wp:inline distT="0" distB="0" distL="0" distR="0" wp14:anchorId="07A6E5E0" wp14:editId="28CD6884">
            <wp:extent cx="5274310" cy="5599430"/>
            <wp:effectExtent l="0" t="0" r="2540" b="1270"/>
            <wp:docPr id="13" name="图片 1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9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25">
        <w:rPr>
          <w:rFonts w:ascii="Arial" w:hAnsi="Arial" w:cs="Arial"/>
          <w:b/>
          <w:bCs/>
          <w:kern w:val="24"/>
          <w:sz w:val="28"/>
          <w:szCs w:val="28"/>
        </w:rPr>
        <w:t>Extended Data Fig. 5 |</w:t>
      </w:r>
      <w:r w:rsidRPr="00766025">
        <w:rPr>
          <w:rFonts w:ascii="Arial" w:hAnsi="Arial" w:cs="Arial"/>
          <w:b/>
          <w:sz w:val="28"/>
          <w:szCs w:val="28"/>
        </w:rPr>
        <w:t xml:space="preserve"> </w:t>
      </w:r>
      <w:r w:rsidRPr="00766025">
        <w:rPr>
          <w:rFonts w:ascii="Arial" w:hAnsi="Arial" w:cs="Arial"/>
          <w:b/>
          <w:bCs/>
          <w:sz w:val="28"/>
          <w:szCs w:val="28"/>
        </w:rPr>
        <w:t xml:space="preserve">CP regulates AMPK signaling by changing intracellular copper concentrations and the Cu-binding protein SCO1, Related to Fig. 4. </w:t>
      </w:r>
    </w:p>
    <w:p w14:paraId="75EC5BC3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28"/>
          <w:szCs w:val="28"/>
        </w:rPr>
      </w:pPr>
      <w:r w:rsidRPr="00766025">
        <w:rPr>
          <w:rFonts w:ascii="Arial" w:hAnsi="Arial" w:cs="Arial"/>
          <w:bCs/>
          <w:sz w:val="28"/>
          <w:szCs w:val="28"/>
        </w:rPr>
        <w:t>(a-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i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>) Primary hepatocytes treated with Ad-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shCP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 or Ad-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shCON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. (a) Hepatic copper concentrations. (b) mRNA level of </w:t>
      </w:r>
      <w:r w:rsidRPr="00766025">
        <w:rPr>
          <w:rFonts w:ascii="Arial" w:hAnsi="Arial" w:cs="Arial"/>
          <w:bCs/>
          <w:i/>
          <w:sz w:val="28"/>
          <w:szCs w:val="28"/>
        </w:rPr>
        <w:t xml:space="preserve">Cp </w:t>
      </w:r>
      <w:r w:rsidRPr="00766025">
        <w:rPr>
          <w:rFonts w:ascii="Arial" w:hAnsi="Arial" w:cs="Arial"/>
          <w:bCs/>
          <w:iCs/>
          <w:sz w:val="28"/>
          <w:szCs w:val="28"/>
        </w:rPr>
        <w:t>in primary hepatocytes</w:t>
      </w:r>
      <w:r w:rsidRPr="00766025">
        <w:rPr>
          <w:rFonts w:ascii="Arial" w:hAnsi="Arial" w:cs="Arial"/>
          <w:bCs/>
          <w:sz w:val="28"/>
          <w:szCs w:val="28"/>
        </w:rPr>
        <w:t xml:space="preserve"> treated with a copper chelator (BCS) or an iron chelator (DFX). (c-d) mRNA levels of </w:t>
      </w:r>
      <w:r w:rsidRPr="00766025">
        <w:rPr>
          <w:rFonts w:ascii="Arial" w:hAnsi="Arial" w:cs="Arial"/>
          <w:bCs/>
          <w:i/>
          <w:sz w:val="28"/>
          <w:szCs w:val="28"/>
        </w:rPr>
        <w:t>Hmgcs2</w:t>
      </w:r>
      <w:r w:rsidRPr="00766025">
        <w:rPr>
          <w:rFonts w:ascii="Arial" w:hAnsi="Arial" w:cs="Arial"/>
          <w:bCs/>
          <w:sz w:val="28"/>
          <w:szCs w:val="28"/>
        </w:rPr>
        <w:t xml:space="preserve"> (c) and </w:t>
      </w:r>
      <w:r w:rsidRPr="00766025">
        <w:rPr>
          <w:rFonts w:ascii="Arial" w:hAnsi="Arial" w:cs="Arial"/>
          <w:bCs/>
          <w:i/>
          <w:sz w:val="28"/>
          <w:szCs w:val="28"/>
        </w:rPr>
        <w:t>Cpt1</w:t>
      </w:r>
      <w:r w:rsidRPr="00766025">
        <w:rPr>
          <w:rFonts w:ascii="Arial" w:eastAsia="SimSun" w:hAnsi="Arial" w:cs="Arial"/>
          <w:bCs/>
          <w:i/>
          <w:sz w:val="28"/>
          <w:szCs w:val="28"/>
        </w:rPr>
        <w:t>α</w:t>
      </w:r>
      <w:r w:rsidRPr="00766025">
        <w:rPr>
          <w:rFonts w:ascii="Arial" w:hAnsi="Arial" w:cs="Arial"/>
          <w:bCs/>
          <w:sz w:val="28"/>
          <w:szCs w:val="28"/>
        </w:rPr>
        <w:t xml:space="preserve"> (d) </w:t>
      </w:r>
      <w:r w:rsidRPr="00766025">
        <w:rPr>
          <w:rFonts w:ascii="Arial" w:hAnsi="Arial" w:cs="Arial"/>
          <w:bCs/>
          <w:iCs/>
          <w:sz w:val="28"/>
          <w:szCs w:val="28"/>
        </w:rPr>
        <w:t>in primary hepatocytes</w:t>
      </w:r>
      <w:r w:rsidRPr="00766025">
        <w:rPr>
          <w:rFonts w:ascii="Arial" w:hAnsi="Arial" w:cs="Arial"/>
          <w:bCs/>
          <w:sz w:val="28"/>
          <w:szCs w:val="28"/>
        </w:rPr>
        <w:t xml:space="preserve"> treated with iron chelator </w:t>
      </w:r>
      <w:r w:rsidRPr="00766025">
        <w:rPr>
          <w:rFonts w:ascii="Arial" w:hAnsi="Arial" w:cs="Arial"/>
          <w:bCs/>
          <w:sz w:val="28"/>
          <w:szCs w:val="28"/>
        </w:rPr>
        <w:lastRenderedPageBreak/>
        <w:t xml:space="preserve">(PIH and DFO). (e) mRNA levels of </w:t>
      </w:r>
      <w:r w:rsidRPr="00766025">
        <w:rPr>
          <w:rFonts w:ascii="Arial" w:hAnsi="Arial" w:cs="Arial"/>
          <w:bCs/>
          <w:i/>
          <w:sz w:val="28"/>
          <w:szCs w:val="28"/>
        </w:rPr>
        <w:t>Cp</w:t>
      </w:r>
      <w:r w:rsidRPr="00766025">
        <w:rPr>
          <w:rFonts w:ascii="Arial" w:hAnsi="Arial" w:cs="Arial"/>
          <w:bCs/>
          <w:iCs/>
          <w:sz w:val="28"/>
          <w:szCs w:val="28"/>
        </w:rPr>
        <w:t xml:space="preserve"> in primary hepatocytes</w:t>
      </w:r>
      <w:r w:rsidRPr="00766025">
        <w:rPr>
          <w:rFonts w:ascii="Arial" w:hAnsi="Arial" w:cs="Arial"/>
          <w:bCs/>
          <w:i/>
          <w:sz w:val="28"/>
          <w:szCs w:val="28"/>
        </w:rPr>
        <w:t xml:space="preserve"> </w:t>
      </w:r>
      <w:r w:rsidRPr="00766025">
        <w:rPr>
          <w:rFonts w:ascii="Arial" w:hAnsi="Arial" w:cs="Arial"/>
          <w:bCs/>
          <w:sz w:val="28"/>
          <w:szCs w:val="28"/>
        </w:rPr>
        <w:t xml:space="preserve">treated with a copper chelator (TM). (f-g) Representative images of Oil Red O staining (f) </w:t>
      </w:r>
      <w:r w:rsidRPr="00766025">
        <w:rPr>
          <w:rFonts w:ascii="Arial" w:hAnsi="Arial" w:cs="Arial"/>
          <w:kern w:val="0"/>
          <w:sz w:val="28"/>
          <w:szCs w:val="28"/>
        </w:rPr>
        <w:t xml:space="preserve">and their quantification (g) of </w:t>
      </w:r>
      <w:r w:rsidRPr="00766025">
        <w:rPr>
          <w:rFonts w:ascii="Arial" w:hAnsi="Arial" w:cs="Arial"/>
          <w:bCs/>
          <w:sz w:val="28"/>
          <w:szCs w:val="28"/>
        </w:rPr>
        <w:t xml:space="preserve">primary hepatocytes treated with DFX </w:t>
      </w:r>
      <w:r w:rsidRPr="00766025">
        <w:rPr>
          <w:rFonts w:ascii="Arial" w:hAnsi="Arial" w:cs="Arial"/>
          <w:sz w:val="28"/>
          <w:szCs w:val="28"/>
        </w:rPr>
        <w:t xml:space="preserve">and PA </w:t>
      </w:r>
      <w:r w:rsidRPr="00766025">
        <w:rPr>
          <w:rFonts w:ascii="Arial" w:hAnsi="Arial" w:cs="Arial"/>
          <w:bCs/>
          <w:sz w:val="28"/>
          <w:szCs w:val="28"/>
        </w:rPr>
        <w:t xml:space="preserve">(scale bar: 50 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μm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>). (h-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i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) Iron staining using </w:t>
      </w:r>
      <w:bookmarkStart w:id="1" w:name="_Hlk73544059"/>
      <w:r w:rsidRPr="00766025">
        <w:rPr>
          <w:rFonts w:ascii="Arial" w:hAnsi="Arial" w:cs="Arial"/>
          <w:sz w:val="28"/>
          <w:szCs w:val="28"/>
        </w:rPr>
        <w:t>Prussian blue staining</w:t>
      </w:r>
      <w:bookmarkEnd w:id="1"/>
      <w:r w:rsidRPr="00766025" w:rsidDel="006135A2">
        <w:rPr>
          <w:rFonts w:ascii="Arial" w:hAnsi="Arial" w:cs="Arial"/>
          <w:bCs/>
          <w:sz w:val="28"/>
          <w:szCs w:val="28"/>
        </w:rPr>
        <w:t xml:space="preserve"> </w:t>
      </w:r>
      <w:r w:rsidRPr="00766025">
        <w:rPr>
          <w:rFonts w:ascii="Arial" w:hAnsi="Arial" w:cs="Arial"/>
          <w:bCs/>
          <w:sz w:val="28"/>
          <w:szCs w:val="28"/>
        </w:rPr>
        <w:t>(h) and iron detection by ICP-MS (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i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) of the livers from thirteen-month-old CP-WKO mice and CP-LKO mice fed five-month-HFD (scale bar: 10 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μm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>).</w:t>
      </w:r>
    </w:p>
    <w:p w14:paraId="07892EF2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28"/>
          <w:szCs w:val="28"/>
        </w:rPr>
      </w:pPr>
      <w:r w:rsidRPr="00766025">
        <w:rPr>
          <w:rFonts w:ascii="Arial" w:hAnsi="Arial" w:cs="Arial"/>
          <w:bCs/>
          <w:sz w:val="28"/>
          <w:szCs w:val="28"/>
        </w:rPr>
        <w:t>Data are presented as mean ± SEM. *p&lt;0.05, **p&lt;0.01, ***p&lt;0.001 compared with the control group.</w:t>
      </w:r>
    </w:p>
    <w:p w14:paraId="34DAAAFE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28"/>
          <w:szCs w:val="28"/>
        </w:rPr>
      </w:pPr>
    </w:p>
    <w:p w14:paraId="43DEAB23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28"/>
          <w:szCs w:val="28"/>
        </w:rPr>
      </w:pPr>
      <w:r w:rsidRPr="00766025">
        <w:rPr>
          <w:rFonts w:ascii="Arial" w:hAnsi="Arial" w:cs="Arial"/>
          <w:noProof/>
        </w:rPr>
        <w:drawing>
          <wp:inline distT="0" distB="0" distL="0" distR="0" wp14:anchorId="6B2F54E3" wp14:editId="11D86681">
            <wp:extent cx="5274310" cy="3930015"/>
            <wp:effectExtent l="0" t="0" r="2540" b="0"/>
            <wp:docPr id="14" name="图片 14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25">
        <w:rPr>
          <w:rFonts w:ascii="Arial" w:hAnsi="Arial" w:cs="Arial"/>
          <w:b/>
          <w:bCs/>
          <w:kern w:val="24"/>
          <w:sz w:val="28"/>
          <w:szCs w:val="28"/>
        </w:rPr>
        <w:t>Extended Data Fig. 6 |</w:t>
      </w:r>
      <w:r w:rsidRPr="00766025">
        <w:rPr>
          <w:rFonts w:ascii="Arial" w:hAnsi="Arial" w:cs="Arial"/>
          <w:b/>
          <w:bCs/>
          <w:sz w:val="28"/>
          <w:szCs w:val="28"/>
        </w:rPr>
        <w:t xml:space="preserve"> Copper upregulates hepatic FAO via SCO1, Related to Fig. 4 and Fig. 5.</w:t>
      </w:r>
    </w:p>
    <w:p w14:paraId="505847E3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28"/>
          <w:szCs w:val="28"/>
        </w:rPr>
      </w:pPr>
      <w:r w:rsidRPr="00766025">
        <w:rPr>
          <w:rFonts w:ascii="Arial" w:hAnsi="Arial" w:cs="Arial"/>
          <w:bCs/>
          <w:sz w:val="28"/>
          <w:szCs w:val="28"/>
        </w:rPr>
        <w:t xml:space="preserve">(a-b) mRNA levels of </w:t>
      </w:r>
      <w:r w:rsidRPr="00766025">
        <w:rPr>
          <w:rFonts w:ascii="Arial" w:hAnsi="Arial" w:cs="Arial"/>
          <w:bCs/>
          <w:i/>
          <w:sz w:val="28"/>
          <w:szCs w:val="28"/>
        </w:rPr>
        <w:t xml:space="preserve">Hmgcs2 </w:t>
      </w:r>
      <w:r w:rsidRPr="00766025">
        <w:rPr>
          <w:rFonts w:ascii="Arial" w:hAnsi="Arial" w:cs="Arial"/>
          <w:bCs/>
          <w:sz w:val="28"/>
          <w:szCs w:val="28"/>
        </w:rPr>
        <w:t xml:space="preserve">(a) and </w:t>
      </w:r>
      <w:r w:rsidRPr="00766025">
        <w:rPr>
          <w:rFonts w:ascii="Arial" w:hAnsi="Arial" w:cs="Arial"/>
          <w:bCs/>
          <w:i/>
          <w:sz w:val="28"/>
          <w:szCs w:val="28"/>
        </w:rPr>
        <w:t>Creb3l3</w:t>
      </w:r>
      <w:r w:rsidRPr="00766025">
        <w:rPr>
          <w:rFonts w:ascii="Arial" w:hAnsi="Arial" w:cs="Arial"/>
          <w:bCs/>
          <w:sz w:val="28"/>
          <w:szCs w:val="28"/>
        </w:rPr>
        <w:t xml:space="preserve"> (b) after indicated siRNAs treatment in Ad-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shCP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 and Ad-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shCON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 primary hepatocytes. (c) mRNA levels of siRNAs targeted genes in (a-b). (d) Subcellular fractionation in primary </w:t>
      </w:r>
      <w:r w:rsidRPr="00766025">
        <w:rPr>
          <w:rFonts w:ascii="Arial" w:hAnsi="Arial" w:cs="Arial"/>
          <w:bCs/>
          <w:sz w:val="28"/>
          <w:szCs w:val="28"/>
        </w:rPr>
        <w:lastRenderedPageBreak/>
        <w:t xml:space="preserve">hepatocytes, 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mito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 xml:space="preserve">: mitochondria, </w:t>
      </w:r>
      <w:proofErr w:type="spellStart"/>
      <w:r w:rsidRPr="00766025">
        <w:rPr>
          <w:rFonts w:ascii="Arial" w:hAnsi="Arial" w:cs="Arial"/>
          <w:bCs/>
          <w:sz w:val="28"/>
          <w:szCs w:val="28"/>
        </w:rPr>
        <w:t>cyto</w:t>
      </w:r>
      <w:proofErr w:type="spellEnd"/>
      <w:r w:rsidRPr="00766025">
        <w:rPr>
          <w:rFonts w:ascii="Arial" w:hAnsi="Arial" w:cs="Arial"/>
          <w:bCs/>
          <w:sz w:val="28"/>
          <w:szCs w:val="28"/>
        </w:rPr>
        <w:t>: cytosol.</w:t>
      </w:r>
    </w:p>
    <w:p w14:paraId="65CAB810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sz w:val="28"/>
          <w:szCs w:val="28"/>
        </w:rPr>
      </w:pPr>
      <w:r w:rsidRPr="00766025">
        <w:rPr>
          <w:rFonts w:ascii="Arial" w:hAnsi="Arial" w:cs="Arial"/>
          <w:bCs/>
          <w:sz w:val="28"/>
          <w:szCs w:val="28"/>
        </w:rPr>
        <w:t>Data are presented as mean ± SEM. *p&lt;0.05, **p&lt;0.01, ***p&lt;0.001 compared with the control group.</w:t>
      </w:r>
    </w:p>
    <w:p w14:paraId="2D042D88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outlineLvl w:val="0"/>
        <w:rPr>
          <w:rFonts w:ascii="Arial" w:hAnsi="Arial" w:cs="Arial"/>
          <w:b/>
          <w:bCs/>
          <w:sz w:val="28"/>
          <w:szCs w:val="28"/>
        </w:rPr>
      </w:pPr>
      <w:r w:rsidRPr="00766025">
        <w:rPr>
          <w:rFonts w:ascii="Arial" w:hAnsi="Arial" w:cs="Arial"/>
          <w:noProof/>
        </w:rPr>
        <w:drawing>
          <wp:inline distT="0" distB="0" distL="0" distR="0" wp14:anchorId="35E114D7" wp14:editId="16E95BDE">
            <wp:extent cx="5274310" cy="3958590"/>
            <wp:effectExtent l="0" t="0" r="2540" b="3810"/>
            <wp:docPr id="7" name="图片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25">
        <w:rPr>
          <w:rFonts w:ascii="Arial" w:hAnsi="Arial" w:cs="Arial"/>
          <w:b/>
          <w:bCs/>
          <w:kern w:val="24"/>
          <w:sz w:val="28"/>
          <w:szCs w:val="28"/>
        </w:rPr>
        <w:t>Extended Data Fig. 7 |</w:t>
      </w:r>
      <w:r w:rsidRPr="00766025">
        <w:rPr>
          <w:rFonts w:ascii="Arial" w:hAnsi="Arial" w:cs="Arial"/>
          <w:sz w:val="28"/>
          <w:szCs w:val="28"/>
        </w:rPr>
        <w:t xml:space="preserve"> </w:t>
      </w:r>
      <w:r w:rsidRPr="00766025">
        <w:rPr>
          <w:rFonts w:ascii="Arial" w:hAnsi="Arial" w:cs="Arial"/>
          <w:b/>
          <w:bCs/>
          <w:sz w:val="28"/>
          <w:szCs w:val="28"/>
        </w:rPr>
        <w:t>Copper chelation aggravates hepatic steatosis, Related to Fig. 6.</w:t>
      </w:r>
    </w:p>
    <w:p w14:paraId="14538D94" w14:textId="77777777" w:rsidR="009F4255" w:rsidRPr="00766025" w:rsidRDefault="009F4255" w:rsidP="009F4255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28"/>
          <w:szCs w:val="28"/>
        </w:rPr>
      </w:pPr>
      <w:r w:rsidRPr="00766025">
        <w:rPr>
          <w:rFonts w:ascii="Arial" w:hAnsi="Arial" w:cs="Arial"/>
          <w:sz w:val="28"/>
          <w:szCs w:val="28"/>
        </w:rPr>
        <w:t xml:space="preserve">(a-f) LKO and control mice were treated as described in Fig. 6a. </w:t>
      </w:r>
      <w:r w:rsidRPr="00766025">
        <w:rPr>
          <w:rFonts w:ascii="Arial" w:hAnsi="Arial" w:cs="Arial"/>
          <w:bCs/>
          <w:sz w:val="28"/>
          <w:szCs w:val="28"/>
        </w:rPr>
        <w:t xml:space="preserve">(a) mRNA level of </w:t>
      </w:r>
      <w:r w:rsidRPr="00766025">
        <w:rPr>
          <w:rFonts w:ascii="Arial" w:eastAsia="SimSun" w:hAnsi="Arial" w:cs="Arial"/>
          <w:bCs/>
          <w:i/>
          <w:iCs/>
          <w:sz w:val="28"/>
          <w:szCs w:val="28"/>
        </w:rPr>
        <w:t>Cp</w:t>
      </w:r>
      <w:r w:rsidRPr="00766025">
        <w:rPr>
          <w:rFonts w:ascii="Arial" w:hAnsi="Arial" w:cs="Arial"/>
          <w:bCs/>
          <w:i/>
          <w:iCs/>
          <w:sz w:val="28"/>
          <w:szCs w:val="28"/>
        </w:rPr>
        <w:t xml:space="preserve"> </w:t>
      </w:r>
      <w:r w:rsidRPr="00766025">
        <w:rPr>
          <w:rFonts w:ascii="Arial" w:hAnsi="Arial" w:cs="Arial"/>
          <w:bCs/>
          <w:sz w:val="28"/>
          <w:szCs w:val="28"/>
        </w:rPr>
        <w:t>in livers. (b-d) Protein levels of p-AMPK</w:t>
      </w:r>
      <w:r w:rsidRPr="00766025">
        <w:rPr>
          <w:rFonts w:ascii="Arial" w:eastAsia="SimSun" w:hAnsi="Arial" w:cs="Arial"/>
          <w:bCs/>
          <w:sz w:val="28"/>
          <w:szCs w:val="28"/>
        </w:rPr>
        <w:t>α</w:t>
      </w:r>
      <w:r w:rsidRPr="00766025">
        <w:rPr>
          <w:rFonts w:ascii="Arial" w:hAnsi="Arial" w:cs="Arial"/>
          <w:bCs/>
          <w:sz w:val="28"/>
          <w:szCs w:val="28"/>
        </w:rPr>
        <w:t xml:space="preserve"> and AMPK</w:t>
      </w:r>
      <w:r w:rsidRPr="00766025">
        <w:rPr>
          <w:rFonts w:ascii="Arial" w:eastAsia="SimSun" w:hAnsi="Arial" w:cs="Arial"/>
          <w:bCs/>
          <w:sz w:val="28"/>
          <w:szCs w:val="28"/>
        </w:rPr>
        <w:t>α</w:t>
      </w:r>
      <w:r w:rsidRPr="00766025">
        <w:rPr>
          <w:rFonts w:ascii="Arial" w:hAnsi="Arial" w:cs="Arial"/>
          <w:bCs/>
          <w:sz w:val="28"/>
          <w:szCs w:val="28"/>
        </w:rPr>
        <w:t xml:space="preserve"> in</w:t>
      </w:r>
      <w:r w:rsidRPr="00766025" w:rsidDel="00C53908">
        <w:rPr>
          <w:rFonts w:ascii="Arial" w:hAnsi="Arial" w:cs="Arial"/>
          <w:bCs/>
          <w:sz w:val="28"/>
          <w:szCs w:val="28"/>
        </w:rPr>
        <w:t xml:space="preserve"> </w:t>
      </w:r>
      <w:r w:rsidRPr="00766025">
        <w:rPr>
          <w:rFonts w:ascii="Arial" w:hAnsi="Arial" w:cs="Arial"/>
          <w:bCs/>
          <w:sz w:val="28"/>
          <w:szCs w:val="28"/>
        </w:rPr>
        <w:t>livers. Triangles indicate CP. (e) Body weight</w:t>
      </w:r>
      <w:r w:rsidRPr="00766025">
        <w:rPr>
          <w:rFonts w:ascii="Arial" w:hAnsi="Arial" w:cs="Arial"/>
          <w:kern w:val="0"/>
          <w:sz w:val="28"/>
          <w:szCs w:val="28"/>
        </w:rPr>
        <w:t xml:space="preserve"> </w:t>
      </w:r>
      <w:r w:rsidRPr="00766025">
        <w:rPr>
          <w:rFonts w:ascii="Arial" w:hAnsi="Arial" w:cs="Arial"/>
          <w:bCs/>
          <w:sz w:val="28"/>
          <w:szCs w:val="28"/>
        </w:rPr>
        <w:t>(g). (f) Average daily food intake (g/d).</w:t>
      </w:r>
    </w:p>
    <w:p w14:paraId="646B3211" w14:textId="77777777" w:rsidR="009F4255" w:rsidRPr="00766025" w:rsidRDefault="009F4255" w:rsidP="009F4255">
      <w:pPr>
        <w:spacing w:line="360" w:lineRule="auto"/>
        <w:rPr>
          <w:rFonts w:ascii="Arial" w:hAnsi="Arial" w:cs="Arial"/>
          <w:bCs/>
          <w:sz w:val="28"/>
          <w:szCs w:val="28"/>
        </w:rPr>
      </w:pPr>
      <w:r w:rsidRPr="00766025">
        <w:rPr>
          <w:rFonts w:ascii="Arial" w:hAnsi="Arial" w:cs="Arial"/>
          <w:bCs/>
          <w:sz w:val="28"/>
          <w:szCs w:val="28"/>
        </w:rPr>
        <w:t>Data are presented as mean ± SEM. *p&lt;0.05, **p&lt;0.01, ***p&lt;0.001 compared with the control group. ns, not significant.</w:t>
      </w:r>
    </w:p>
    <w:p w14:paraId="7F6CA511" w14:textId="77777777" w:rsidR="009F4255" w:rsidRPr="00766025" w:rsidRDefault="009F4255" w:rsidP="009F4255">
      <w:pPr>
        <w:spacing w:line="360" w:lineRule="auto"/>
        <w:rPr>
          <w:rFonts w:ascii="Arial" w:hAnsi="Arial" w:cs="Arial"/>
          <w:bCs/>
          <w:sz w:val="28"/>
          <w:szCs w:val="28"/>
        </w:rPr>
      </w:pPr>
    </w:p>
    <w:p w14:paraId="060576CA" w14:textId="77777777" w:rsidR="009F4255" w:rsidRPr="00766025" w:rsidRDefault="009F4255" w:rsidP="009F4255">
      <w:pPr>
        <w:spacing w:line="360" w:lineRule="auto"/>
        <w:rPr>
          <w:rFonts w:ascii="Arial" w:hAnsi="Arial" w:cs="Arial"/>
          <w:b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1760C5F" wp14:editId="78C55F3E">
            <wp:extent cx="5274310" cy="2955290"/>
            <wp:effectExtent l="0" t="0" r="2540" b="0"/>
            <wp:docPr id="8" name="图片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5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25">
        <w:rPr>
          <w:rFonts w:ascii="Arial" w:hAnsi="Arial" w:cs="Arial"/>
          <w:b/>
          <w:bCs/>
          <w:kern w:val="24"/>
          <w:sz w:val="28"/>
          <w:szCs w:val="28"/>
        </w:rPr>
        <w:t>Extended Data Fig. 8 |</w:t>
      </w:r>
      <w:r w:rsidRPr="00766025">
        <w:rPr>
          <w:rFonts w:ascii="Arial" w:hAnsi="Arial" w:cs="Arial"/>
          <w:b/>
          <w:sz w:val="28"/>
          <w:szCs w:val="28"/>
        </w:rPr>
        <w:t xml:space="preserve"> A graphical abstract of this study. </w:t>
      </w:r>
    </w:p>
    <w:p w14:paraId="1AAACF5E" w14:textId="77777777" w:rsidR="009F4255" w:rsidRPr="00766025" w:rsidRDefault="009F4255" w:rsidP="009F4255">
      <w:pPr>
        <w:spacing w:line="360" w:lineRule="auto"/>
        <w:rPr>
          <w:rFonts w:ascii="Arial" w:hAnsi="Arial" w:cs="Arial"/>
          <w:bCs/>
          <w:sz w:val="28"/>
          <w:szCs w:val="28"/>
        </w:rPr>
      </w:pPr>
      <w:r w:rsidRPr="00766025">
        <w:rPr>
          <w:rFonts w:ascii="Arial" w:hAnsi="Arial" w:cs="Arial"/>
          <w:bCs/>
          <w:sz w:val="28"/>
          <w:szCs w:val="28"/>
        </w:rPr>
        <w:t>Our findings suggest that CP knocking-out-mediated elevated hepatic copper triggers assembling of SCO1-LKB1-AMPK complex and consequently activates AMPK. Copper-mediated AMPK activation further ameliorates NAFLD development through enhancing mitochondrial biogenesis and fatty acid oxidation.</w:t>
      </w:r>
    </w:p>
    <w:p w14:paraId="66CF74F3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255"/>
    <w:rsid w:val="009F4255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52D60"/>
  <w15:chartTrackingRefBased/>
  <w15:docId w15:val="{52A1EC40-59EF-4B16-8253-6369BC1CD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425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925</Words>
  <Characters>5273</Characters>
  <Application>Microsoft Office Word</Application>
  <DocSecurity>0</DocSecurity>
  <Lines>43</Lines>
  <Paragraphs>12</Paragraphs>
  <ScaleCrop>false</ScaleCrop>
  <Company/>
  <LinksUpToDate>false</LinksUpToDate>
  <CharactersWithSpaces>6186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2021-10-01T21:57:00Z</dcterms:created>
  <dcterms:modified xsi:type="dcterms:W3CDTF">2021-10-01T21:58:00Z</dcterms:modified>
</cp:coreProperties>
</file>