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3905" w14:textId="0D32DBAE" w:rsidR="003F7DD3" w:rsidRPr="00F73550" w:rsidRDefault="003F7DD3" w:rsidP="003F7DD3">
      <w:pPr>
        <w:rPr>
          <w:rFonts w:ascii="Calibri" w:hAnsi="Calibri" w:cs="Calibri"/>
          <w:b/>
          <w:bCs/>
          <w:sz w:val="24"/>
          <w:szCs w:val="24"/>
        </w:rPr>
      </w:pPr>
      <w:bookmarkStart w:id="0" w:name="OLE_LINK2"/>
      <w:r w:rsidRPr="00F73550">
        <w:rPr>
          <w:rFonts w:ascii="Calibri" w:hAnsi="Calibri" w:cs="Calibri" w:hint="eastAsia"/>
          <w:b/>
          <w:bCs/>
          <w:sz w:val="24"/>
          <w:szCs w:val="24"/>
        </w:rPr>
        <w:t>Supplementary Table 1</w:t>
      </w:r>
      <w:r>
        <w:rPr>
          <w:rFonts w:ascii="Calibri" w:hAnsi="Calibri" w:cs="Calibri" w:hint="eastAsia"/>
          <w:b/>
          <w:bCs/>
          <w:sz w:val="24"/>
          <w:szCs w:val="24"/>
        </w:rPr>
        <w:t xml:space="preserve"> Primary/</w:t>
      </w:r>
      <w:r w:rsidRPr="00F73550">
        <w:rPr>
          <w:rFonts w:ascii="Calibri" w:hAnsi="Calibri" w:cs="Calibri"/>
          <w:b/>
          <w:bCs/>
          <w:sz w:val="24"/>
          <w:szCs w:val="24"/>
        </w:rPr>
        <w:t>Secondary outcomes</w:t>
      </w:r>
      <w:r w:rsidRPr="00F73550">
        <w:rPr>
          <w:rFonts w:ascii="Calibri" w:hAnsi="Calibri" w:cs="Calibri" w:hint="eastAsia"/>
          <w:b/>
          <w:bCs/>
          <w:sz w:val="24"/>
          <w:szCs w:val="24"/>
        </w:rPr>
        <w:t xml:space="preserve"> and their detailed definitions</w:t>
      </w:r>
      <w:r w:rsidR="003478C5">
        <w:rPr>
          <w:rFonts w:ascii="Calibri" w:hAnsi="Calibri" w:cs="Calibri" w:hint="eastAsia"/>
          <w:b/>
          <w:bCs/>
          <w:sz w:val="24"/>
          <w:szCs w:val="24"/>
        </w:rPr>
        <w:t>/d</w:t>
      </w:r>
      <w:r w:rsidR="003478C5" w:rsidRPr="003478C5">
        <w:rPr>
          <w:rFonts w:ascii="Calibri" w:hAnsi="Calibri" w:cs="Calibri" w:hint="eastAsia"/>
          <w:b/>
          <w:bCs/>
          <w:sz w:val="24"/>
          <w:szCs w:val="24"/>
        </w:rPr>
        <w:t xml:space="preserve">iagnostic </w:t>
      </w:r>
      <w:r w:rsidR="003478C5">
        <w:rPr>
          <w:rFonts w:ascii="Calibri" w:hAnsi="Calibri" w:cs="Calibri" w:hint="eastAsia"/>
          <w:b/>
          <w:bCs/>
          <w:sz w:val="24"/>
          <w:szCs w:val="24"/>
        </w:rPr>
        <w:t>c</w:t>
      </w:r>
      <w:r w:rsidR="003478C5" w:rsidRPr="003478C5">
        <w:rPr>
          <w:rFonts w:ascii="Calibri" w:hAnsi="Calibri" w:cs="Calibri" w:hint="eastAsia"/>
          <w:b/>
          <w:bCs/>
          <w:sz w:val="24"/>
          <w:szCs w:val="24"/>
        </w:rPr>
        <w:t>riteria</w:t>
      </w:r>
    </w:p>
    <w:p w14:paraId="73704D01" w14:textId="77777777" w:rsidR="003F7DD3" w:rsidRDefault="003F7DD3" w:rsidP="003F7DD3">
      <w:pPr>
        <w:rPr>
          <w:rFonts w:ascii="Calibri" w:hAnsi="Calibri" w:cs="Calibri"/>
          <w:sz w:val="24"/>
          <w:szCs w:val="24"/>
        </w:rPr>
      </w:pP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461"/>
      </w:tblGrid>
      <w:tr w:rsidR="003F7DD3" w14:paraId="40BB206C" w14:textId="77777777" w:rsidTr="000E52F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647178D" w14:textId="77777777" w:rsidR="003F7DD3" w:rsidRPr="002B2DC7" w:rsidRDefault="003F7DD3" w:rsidP="00D6382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2DC7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Primary/Secondary Outcome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</w:tcPr>
          <w:p w14:paraId="605F3D2F" w14:textId="77777777" w:rsidR="003F7DD3" w:rsidRPr="002B2DC7" w:rsidRDefault="003F7DD3" w:rsidP="00D63827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B2DC7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 xml:space="preserve">Definition / </w:t>
            </w:r>
            <w:bookmarkStart w:id="1" w:name="OLE_LINK32"/>
            <w:r w:rsidRPr="002B2DC7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Diagnostic Criteria</w:t>
            </w:r>
            <w:bookmarkEnd w:id="1"/>
          </w:p>
        </w:tc>
      </w:tr>
      <w:tr w:rsidR="003F7DD3" w14:paraId="5B32B341" w14:textId="77777777" w:rsidTr="000E52FB">
        <w:tc>
          <w:tcPr>
            <w:tcW w:w="2835" w:type="dxa"/>
            <w:tcBorders>
              <w:top w:val="single" w:sz="4" w:space="0" w:color="auto"/>
            </w:tcBorders>
          </w:tcPr>
          <w:p w14:paraId="65D79BBC" w14:textId="2E75339B" w:rsidR="003F7DD3" w:rsidRPr="00D057C8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gestational diabetes </w:t>
            </w:r>
            <w:r w:rsidRPr="00F73550">
              <w:rPr>
                <w:rFonts w:ascii="Calibri" w:hAnsi="Calibri" w:cs="Calibri"/>
                <w:sz w:val="24"/>
                <w:szCs w:val="24"/>
              </w:rPr>
              <w:t>mellitus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 w:hint="eastAsia"/>
                <w:sz w:val="24"/>
                <w:szCs w:val="24"/>
              </w:rPr>
              <w:t>GDM)</w:t>
            </w:r>
          </w:p>
        </w:tc>
        <w:tc>
          <w:tcPr>
            <w:tcW w:w="5461" w:type="dxa"/>
            <w:tcBorders>
              <w:top w:val="single" w:sz="4" w:space="0" w:color="auto"/>
            </w:tcBorders>
          </w:tcPr>
          <w:p w14:paraId="1B7E6699" w14:textId="77777777" w:rsidR="003F7DD3" w:rsidRPr="00DD241C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oral glucose tolerance test (OGTT) results: Fasting blood glucose 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 5.1 mmol/L, blood glucose 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 10.0 mmol/L 1 hour after oral 75g sugar powder, and blood glucose 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 8.5 mmol/L 2 hours after oral 75g sugar powder</w:t>
            </w:r>
          </w:p>
        </w:tc>
      </w:tr>
      <w:tr w:rsidR="003F7DD3" w14:paraId="6CFCEA3F" w14:textId="77777777" w:rsidTr="000E52FB">
        <w:tc>
          <w:tcPr>
            <w:tcW w:w="2835" w:type="dxa"/>
          </w:tcPr>
          <w:p w14:paraId="5BD1AC40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2B2DC7">
              <w:rPr>
                <w:rFonts w:ascii="Calibri" w:hAnsi="Calibri" w:cs="Calibri" w:hint="eastAsia"/>
                <w:sz w:val="24"/>
                <w:szCs w:val="24"/>
              </w:rPr>
              <w:t>gestational hypertension</w:t>
            </w:r>
          </w:p>
          <w:p w14:paraId="43139CE1" w14:textId="1E581E3D" w:rsidR="003F7DD3" w:rsidRPr="00D057C8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</w:t>
            </w:r>
            <w:proofErr w:type="spellStart"/>
            <w:r w:rsidRPr="003F7DD3">
              <w:rPr>
                <w:rFonts w:ascii="Calibri" w:hAnsi="Calibri" w:cs="Calibri" w:hint="eastAsia"/>
                <w:sz w:val="24"/>
                <w:szCs w:val="24"/>
              </w:rPr>
              <w:t>GHp</w:t>
            </w:r>
            <w:proofErr w:type="spellEnd"/>
            <w:r>
              <w:rPr>
                <w:rFonts w:ascii="Calibri" w:hAnsi="Calibri" w:cs="Calibri" w:hint="eastAsia"/>
                <w:sz w:val="24"/>
                <w:szCs w:val="24"/>
              </w:rPr>
              <w:t>)</w:t>
            </w:r>
          </w:p>
        </w:tc>
        <w:tc>
          <w:tcPr>
            <w:tcW w:w="5461" w:type="dxa"/>
          </w:tcPr>
          <w:p w14:paraId="62763C87" w14:textId="77777777" w:rsidR="003F7DD3" w:rsidRPr="00DD241C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When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 a previously normotensive woman develops sustained hypertension after 20 weeks' gestation. This requires meeting the blood pressure threshold (systolic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140 mmHg and/or diastolic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90 mmHg) on at least two separate occasions, with measurements spaced at least 4 hours apart</w:t>
            </w:r>
          </w:p>
        </w:tc>
      </w:tr>
      <w:tr w:rsidR="003F7DD3" w14:paraId="155A393C" w14:textId="77777777" w:rsidTr="000E52FB">
        <w:tc>
          <w:tcPr>
            <w:tcW w:w="2835" w:type="dxa"/>
          </w:tcPr>
          <w:p w14:paraId="3DB35F9C" w14:textId="77777777" w:rsidR="003F7DD3" w:rsidRPr="00D057C8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2B2DC7">
              <w:rPr>
                <w:rFonts w:ascii="Calibri" w:hAnsi="Calibri" w:cs="Calibri" w:hint="eastAsia"/>
                <w:sz w:val="24"/>
                <w:szCs w:val="24"/>
              </w:rPr>
              <w:t>preeclampsia</w:t>
            </w:r>
          </w:p>
        </w:tc>
        <w:tc>
          <w:tcPr>
            <w:tcW w:w="5461" w:type="dxa"/>
          </w:tcPr>
          <w:p w14:paraId="2567ACBB" w14:textId="36D05622" w:rsidR="003F7DD3" w:rsidRPr="00DD241C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 co-occurrence of new-onset hypertension (as defined for </w:t>
            </w:r>
            <w:bookmarkStart w:id="2" w:name="OLE_LINK35"/>
            <w:proofErr w:type="spellStart"/>
            <w:r w:rsidRPr="002B2DC7">
              <w:rPr>
                <w:rFonts w:ascii="Calibri" w:hAnsi="Calibri" w:cs="Calibri" w:hint="eastAsia"/>
                <w:sz w:val="24"/>
                <w:szCs w:val="24"/>
              </w:rPr>
              <w:t>GHp</w:t>
            </w:r>
            <w:bookmarkEnd w:id="2"/>
            <w:proofErr w:type="spellEnd"/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) and significant proteinuria. </w:t>
            </w:r>
            <w:r w:rsidR="006B2E23">
              <w:rPr>
                <w:rFonts w:ascii="Calibri" w:hAnsi="Calibri" w:cs="Calibri"/>
                <w:sz w:val="24"/>
                <w:szCs w:val="24"/>
              </w:rPr>
              <w:t>Any of the following criteria confirms proteinuria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: a 24-hour urinary protein excretion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0.3 grams, a urinary protein-to-creatinine ratio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0.3, or a random urine dipstick reading of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>1+ (used when quantitative methods are unavailable).</w:t>
            </w:r>
            <w:r w:rsidR="006B2E23"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Alternatively, in the absence of proteinuria, it must be accompanied by involvement of any one of the following organs or systems: </w:t>
            </w:r>
            <w:r w:rsidR="006B2E23">
              <w:rPr>
                <w:rFonts w:ascii="Calibri" w:hAnsi="Calibri" w:cs="Calibri"/>
                <w:sz w:val="24"/>
                <w:szCs w:val="24"/>
              </w:rPr>
              <w:t xml:space="preserve">heart, lungs, liver, kidneys, or other vital organs; abnormal changes in the </w:t>
            </w:r>
            <w:proofErr w:type="spellStart"/>
            <w:r w:rsidR="006B2E23">
              <w:rPr>
                <w:rFonts w:ascii="Calibri" w:hAnsi="Calibri" w:cs="Calibri"/>
                <w:sz w:val="24"/>
                <w:szCs w:val="24"/>
              </w:rPr>
              <w:t>haematological</w:t>
            </w:r>
            <w:proofErr w:type="spellEnd"/>
            <w:r w:rsidR="006B2E23">
              <w:rPr>
                <w:rFonts w:ascii="Calibri" w:hAnsi="Calibri" w:cs="Calibri"/>
                <w:sz w:val="24"/>
                <w:szCs w:val="24"/>
              </w:rPr>
              <w:t>, digestive, or neurological systems;</w:t>
            </w:r>
            <w:r w:rsidRPr="002B2DC7">
              <w:rPr>
                <w:rFonts w:ascii="Calibri" w:hAnsi="Calibri" w:cs="Calibri" w:hint="eastAsia"/>
                <w:sz w:val="24"/>
                <w:szCs w:val="24"/>
              </w:rPr>
              <w:t xml:space="preserve"> or involvement of the placental-fetal system.</w:t>
            </w:r>
          </w:p>
        </w:tc>
      </w:tr>
      <w:tr w:rsidR="003F7DD3" w14:paraId="546948FE" w14:textId="77777777" w:rsidTr="000E52FB">
        <w:tc>
          <w:tcPr>
            <w:tcW w:w="2835" w:type="dxa"/>
          </w:tcPr>
          <w:p w14:paraId="41526839" w14:textId="3723444F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D057C8">
              <w:rPr>
                <w:rFonts w:ascii="Calibri" w:hAnsi="Calibri" w:cs="Calibri"/>
                <w:sz w:val="24"/>
                <w:szCs w:val="24"/>
              </w:rPr>
              <w:t xml:space="preserve">premature rupture of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the </w:t>
            </w:r>
            <w:r w:rsidRPr="00D057C8">
              <w:rPr>
                <w:rFonts w:ascii="Calibri" w:hAnsi="Calibri" w:cs="Calibri"/>
                <w:sz w:val="24"/>
                <w:szCs w:val="24"/>
              </w:rPr>
              <w:t>membrane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 w:hint="eastAsia"/>
                <w:sz w:val="24"/>
                <w:szCs w:val="24"/>
              </w:rPr>
              <w:t>PROM)</w:t>
            </w:r>
          </w:p>
        </w:tc>
        <w:tc>
          <w:tcPr>
            <w:tcW w:w="5461" w:type="dxa"/>
          </w:tcPr>
          <w:p w14:paraId="117519BE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DD241C">
              <w:rPr>
                <w:rFonts w:ascii="Calibri" w:hAnsi="Calibri" w:cs="Calibri" w:hint="eastAsia"/>
                <w:sz w:val="24"/>
                <w:szCs w:val="24"/>
              </w:rPr>
              <w:t xml:space="preserve">Rupture of the chorioamniotic membranes before the onset of </w:t>
            </w:r>
            <w:r>
              <w:rPr>
                <w:rFonts w:ascii="Calibri" w:hAnsi="Calibri" w:cs="Calibri"/>
                <w:sz w:val="24"/>
                <w:szCs w:val="24"/>
              </w:rPr>
              <w:t>labour</w:t>
            </w:r>
          </w:p>
        </w:tc>
      </w:tr>
      <w:tr w:rsidR="003F7DD3" w14:paraId="7DB6D760" w14:textId="77777777" w:rsidTr="000E52FB">
        <w:tc>
          <w:tcPr>
            <w:tcW w:w="2835" w:type="dxa"/>
          </w:tcPr>
          <w:p w14:paraId="6622103D" w14:textId="34207C9D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35FCF">
              <w:rPr>
                <w:rFonts w:ascii="Calibri" w:hAnsi="Calibri" w:cs="Calibri"/>
                <w:sz w:val="24"/>
                <w:szCs w:val="24"/>
              </w:rPr>
              <w:t>preterm birth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 w:hint="eastAsia"/>
                <w:sz w:val="24"/>
                <w:szCs w:val="24"/>
              </w:rPr>
              <w:t>PB)</w:t>
            </w:r>
          </w:p>
        </w:tc>
        <w:tc>
          <w:tcPr>
            <w:tcW w:w="5461" w:type="dxa"/>
          </w:tcPr>
          <w:p w14:paraId="43D5D771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D</w:t>
            </w:r>
            <w:r w:rsidRPr="00DD241C">
              <w:rPr>
                <w:rFonts w:ascii="Calibri" w:hAnsi="Calibri" w:cs="Calibri" w:hint="eastAsia"/>
                <w:sz w:val="24"/>
                <w:szCs w:val="24"/>
              </w:rPr>
              <w:t>elivery before 37 weeks of gestation</w:t>
            </w:r>
          </w:p>
        </w:tc>
      </w:tr>
      <w:tr w:rsidR="003F7DD3" w14:paraId="0AF05D11" w14:textId="77777777" w:rsidTr="000E52FB">
        <w:tc>
          <w:tcPr>
            <w:tcW w:w="2835" w:type="dxa"/>
          </w:tcPr>
          <w:p w14:paraId="6A716918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D057C8">
              <w:rPr>
                <w:rFonts w:ascii="Calibri" w:hAnsi="Calibri" w:cs="Calibri"/>
                <w:sz w:val="24"/>
                <w:szCs w:val="24"/>
              </w:rPr>
              <w:t>macrosomia</w:t>
            </w:r>
          </w:p>
        </w:tc>
        <w:tc>
          <w:tcPr>
            <w:tcW w:w="5461" w:type="dxa"/>
          </w:tcPr>
          <w:p w14:paraId="1BD9BB3A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B</w:t>
            </w:r>
            <w:r w:rsidRPr="00DD241C">
              <w:rPr>
                <w:rFonts w:ascii="Calibri" w:hAnsi="Calibri" w:cs="Calibri" w:hint="eastAsia"/>
                <w:sz w:val="24"/>
                <w:szCs w:val="24"/>
              </w:rPr>
              <w:t>irth weight greater than or equal to 4000g</w:t>
            </w:r>
          </w:p>
        </w:tc>
      </w:tr>
      <w:tr w:rsidR="003F7DD3" w14:paraId="5D640716" w14:textId="77777777" w:rsidTr="000E52FB">
        <w:tc>
          <w:tcPr>
            <w:tcW w:w="2835" w:type="dxa"/>
          </w:tcPr>
          <w:p w14:paraId="422F031B" w14:textId="00588A69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l</w:t>
            </w:r>
            <w:r w:rsidRPr="002B2AEA">
              <w:rPr>
                <w:rFonts w:ascii="Calibri" w:hAnsi="Calibri" w:cs="Calibri" w:hint="eastAsia"/>
                <w:sz w:val="24"/>
                <w:szCs w:val="24"/>
              </w:rPr>
              <w:t xml:space="preserve">ow </w:t>
            </w:r>
            <w:r>
              <w:rPr>
                <w:rFonts w:ascii="Calibri" w:hAnsi="Calibri" w:cs="Calibri" w:hint="eastAsia"/>
                <w:sz w:val="24"/>
                <w:szCs w:val="24"/>
              </w:rPr>
              <w:t>b</w:t>
            </w:r>
            <w:r w:rsidRPr="002B2AEA">
              <w:rPr>
                <w:rFonts w:ascii="Calibri" w:hAnsi="Calibri" w:cs="Calibri" w:hint="eastAsia"/>
                <w:sz w:val="24"/>
                <w:szCs w:val="24"/>
              </w:rPr>
              <w:t xml:space="preserve">irth </w:t>
            </w:r>
            <w:r>
              <w:rPr>
                <w:rFonts w:ascii="Calibri" w:hAnsi="Calibri" w:cs="Calibri"/>
                <w:sz w:val="24"/>
                <w:szCs w:val="24"/>
              </w:rPr>
              <w:t>w</w:t>
            </w:r>
            <w:r w:rsidRPr="002B2AEA">
              <w:rPr>
                <w:rFonts w:ascii="Calibri" w:hAnsi="Calibri" w:cs="Calibri"/>
                <w:sz w:val="24"/>
                <w:szCs w:val="24"/>
              </w:rPr>
              <w:t>eight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 w:hint="eastAsia"/>
                <w:sz w:val="24"/>
                <w:szCs w:val="24"/>
              </w:rPr>
              <w:t>LBW)</w:t>
            </w:r>
          </w:p>
        </w:tc>
        <w:tc>
          <w:tcPr>
            <w:tcW w:w="5461" w:type="dxa"/>
          </w:tcPr>
          <w:p w14:paraId="209709EA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B</w:t>
            </w:r>
            <w:r w:rsidRPr="00DD241C">
              <w:rPr>
                <w:rFonts w:ascii="Calibri" w:hAnsi="Calibri" w:cs="Calibri" w:hint="eastAsia"/>
                <w:sz w:val="24"/>
                <w:szCs w:val="24"/>
              </w:rPr>
              <w:t>irth weight less than 2500g</w:t>
            </w:r>
          </w:p>
        </w:tc>
      </w:tr>
      <w:tr w:rsidR="003F7DD3" w14:paraId="0834448A" w14:textId="77777777" w:rsidTr="000E52FB">
        <w:tc>
          <w:tcPr>
            <w:tcW w:w="2835" w:type="dxa"/>
          </w:tcPr>
          <w:p w14:paraId="7AF83B0E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bookmarkStart w:id="3" w:name="OLE_LINK52"/>
            <w:r>
              <w:rPr>
                <w:rFonts w:ascii="Calibri" w:hAnsi="Calibri" w:cs="Calibri" w:hint="eastAsia"/>
                <w:sz w:val="24"/>
                <w:szCs w:val="24"/>
              </w:rPr>
              <w:t>s</w:t>
            </w:r>
            <w:r w:rsidRPr="002B2AEA">
              <w:rPr>
                <w:rFonts w:ascii="Calibri" w:hAnsi="Calibri" w:cs="Calibri" w:hint="eastAsia"/>
                <w:sz w:val="24"/>
                <w:szCs w:val="24"/>
              </w:rPr>
              <w:t xml:space="preserve">mall for </w:t>
            </w:r>
            <w:r>
              <w:rPr>
                <w:rFonts w:ascii="Calibri" w:hAnsi="Calibri" w:cs="Calibri" w:hint="eastAsia"/>
                <w:sz w:val="24"/>
                <w:szCs w:val="24"/>
              </w:rPr>
              <w:t>g</w:t>
            </w:r>
            <w:r w:rsidRPr="002B2AEA">
              <w:rPr>
                <w:rFonts w:ascii="Calibri" w:hAnsi="Calibri" w:cs="Calibri" w:hint="eastAsia"/>
                <w:sz w:val="24"/>
                <w:szCs w:val="24"/>
              </w:rPr>
              <w:t xml:space="preserve">estational </w:t>
            </w:r>
            <w:r>
              <w:rPr>
                <w:rFonts w:ascii="Calibri" w:hAnsi="Calibri" w:cs="Calibri" w:hint="eastAsia"/>
                <w:sz w:val="24"/>
                <w:szCs w:val="24"/>
              </w:rPr>
              <w:t>a</w:t>
            </w:r>
            <w:r w:rsidRPr="002B2AEA">
              <w:rPr>
                <w:rFonts w:ascii="Calibri" w:hAnsi="Calibri" w:cs="Calibri" w:hint="eastAsia"/>
                <w:sz w:val="24"/>
                <w:szCs w:val="24"/>
              </w:rPr>
              <w:t>ge</w:t>
            </w:r>
            <w:bookmarkEnd w:id="3"/>
          </w:p>
          <w:p w14:paraId="6170AFDB" w14:textId="0ADA25F4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(SGA)</w:t>
            </w:r>
          </w:p>
        </w:tc>
        <w:tc>
          <w:tcPr>
            <w:tcW w:w="5461" w:type="dxa"/>
          </w:tcPr>
          <w:p w14:paraId="3B174EBC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DD241C">
              <w:rPr>
                <w:rFonts w:ascii="Calibri" w:hAnsi="Calibri" w:cs="Calibri" w:hint="eastAsia"/>
                <w:sz w:val="24"/>
                <w:szCs w:val="24"/>
              </w:rPr>
              <w:t>Neonates with a birth weight below the 10th percentile for gestational age</w:t>
            </w:r>
          </w:p>
        </w:tc>
      </w:tr>
      <w:tr w:rsidR="003F7DD3" w14:paraId="6D20B069" w14:textId="77777777" w:rsidTr="000E52FB">
        <w:tc>
          <w:tcPr>
            <w:tcW w:w="2835" w:type="dxa"/>
          </w:tcPr>
          <w:p w14:paraId="7C19B560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35FCF">
              <w:rPr>
                <w:rFonts w:ascii="Calibri" w:hAnsi="Calibri" w:cs="Calibri"/>
                <w:sz w:val="24"/>
                <w:szCs w:val="24"/>
              </w:rPr>
              <w:t>large for gestational age</w:t>
            </w:r>
          </w:p>
          <w:p w14:paraId="58360520" w14:textId="3093B622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(LGA)</w:t>
            </w:r>
          </w:p>
        </w:tc>
        <w:tc>
          <w:tcPr>
            <w:tcW w:w="5461" w:type="dxa"/>
          </w:tcPr>
          <w:p w14:paraId="2B6F6FCC" w14:textId="77777777" w:rsidR="003F7DD3" w:rsidRPr="007A5C00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Neonates with a birth weight </w:t>
            </w:r>
            <w:r>
              <w:rPr>
                <w:rFonts w:ascii="Calibri" w:hAnsi="Calibri" w:cs="Calibri" w:hint="eastAsia"/>
                <w:sz w:val="24"/>
                <w:szCs w:val="24"/>
              </w:rPr>
              <w:t>above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 xml:space="preserve"> the </w:t>
            </w:r>
            <w:r>
              <w:rPr>
                <w:rFonts w:ascii="Calibri" w:hAnsi="Calibri" w:cs="Calibri" w:hint="eastAsia"/>
                <w:sz w:val="24"/>
                <w:szCs w:val="24"/>
              </w:rPr>
              <w:t>9</w:t>
            </w:r>
            <w:r w:rsidRPr="00F73550">
              <w:rPr>
                <w:rFonts w:ascii="Calibri" w:hAnsi="Calibri" w:cs="Calibri" w:hint="eastAsia"/>
                <w:sz w:val="24"/>
                <w:szCs w:val="24"/>
              </w:rPr>
              <w:t>0th percentile for gestational age</w:t>
            </w:r>
          </w:p>
        </w:tc>
      </w:tr>
      <w:tr w:rsidR="003F7DD3" w14:paraId="53730702" w14:textId="77777777" w:rsidTr="000E52FB">
        <w:tc>
          <w:tcPr>
            <w:tcW w:w="2835" w:type="dxa"/>
          </w:tcPr>
          <w:p w14:paraId="1A1C9B0B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Nuchal cord</w:t>
            </w:r>
          </w:p>
        </w:tc>
        <w:tc>
          <w:tcPr>
            <w:tcW w:w="5461" w:type="dxa"/>
          </w:tcPr>
          <w:p w14:paraId="5674A1E1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Presence of one or more loops of umbilical cord around the fetal neck, recorded at delivery.</w:t>
            </w:r>
          </w:p>
        </w:tc>
      </w:tr>
      <w:tr w:rsidR="003F7DD3" w14:paraId="01B08004" w14:textId="77777777" w:rsidTr="000E52FB">
        <w:tc>
          <w:tcPr>
            <w:tcW w:w="2835" w:type="dxa"/>
          </w:tcPr>
          <w:p w14:paraId="7EE0C27F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Postpartum </w:t>
            </w:r>
            <w:proofErr w:type="spellStart"/>
            <w:r w:rsidRPr="007A5C00">
              <w:rPr>
                <w:rFonts w:ascii="Calibri" w:hAnsi="Calibri" w:cs="Calibri" w:hint="eastAsia"/>
                <w:sz w:val="24"/>
                <w:szCs w:val="24"/>
              </w:rPr>
              <w:t>haemorrhage</w:t>
            </w:r>
            <w:proofErr w:type="spellEnd"/>
          </w:p>
        </w:tc>
        <w:tc>
          <w:tcPr>
            <w:tcW w:w="5461" w:type="dxa"/>
          </w:tcPr>
          <w:p w14:paraId="0F927C20" w14:textId="77777777" w:rsidR="003F7DD3" w:rsidRPr="007A5C00" w:rsidRDefault="003F7DD3" w:rsidP="00D63827">
            <w:pPr>
              <w:adjustRightInd w:val="0"/>
              <w:snapToGrid w:val="0"/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Blood loss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500 mL following vaginal delivery or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≥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1000 mL following cesarean section, within 24 hours of birth.</w:t>
            </w:r>
          </w:p>
        </w:tc>
      </w:tr>
      <w:tr w:rsidR="003F7DD3" w14:paraId="419BFC1A" w14:textId="77777777" w:rsidTr="000E52FB">
        <w:tc>
          <w:tcPr>
            <w:tcW w:w="2835" w:type="dxa"/>
          </w:tcPr>
          <w:p w14:paraId="6B2BC941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Postpartum </w:t>
            </w:r>
            <w:proofErr w:type="spellStart"/>
            <w:r w:rsidRPr="007A5C00">
              <w:rPr>
                <w:rFonts w:ascii="Calibri" w:hAnsi="Calibri" w:cs="Calibri" w:hint="eastAsia"/>
                <w:sz w:val="24"/>
                <w:szCs w:val="24"/>
              </w:rPr>
              <w:t>anaemia</w:t>
            </w:r>
            <w:proofErr w:type="spellEnd"/>
          </w:p>
        </w:tc>
        <w:tc>
          <w:tcPr>
            <w:tcW w:w="5461" w:type="dxa"/>
          </w:tcPr>
          <w:p w14:paraId="09D4BE7A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Maternal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haemoglobin</w:t>
            </w:r>
            <w:proofErr w:type="spellEnd"/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level &lt; 110 g/L within 48 hours postpartum.</w:t>
            </w:r>
          </w:p>
        </w:tc>
      </w:tr>
      <w:tr w:rsidR="003F7DD3" w14:paraId="101CD52D" w14:textId="77777777" w:rsidTr="000E52FB">
        <w:tc>
          <w:tcPr>
            <w:tcW w:w="2835" w:type="dxa"/>
          </w:tcPr>
          <w:p w14:paraId="18234A9D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bookmarkStart w:id="4" w:name="OLE_LINK37"/>
            <w:r w:rsidRPr="007A5C00">
              <w:rPr>
                <w:rFonts w:ascii="Calibri" w:hAnsi="Calibri" w:cs="Calibri" w:hint="eastAsia"/>
                <w:sz w:val="24"/>
                <w:szCs w:val="24"/>
              </w:rPr>
              <w:t>Non-reassuring fetal status</w:t>
            </w:r>
            <w:bookmarkEnd w:id="4"/>
          </w:p>
        </w:tc>
        <w:tc>
          <w:tcPr>
            <w:tcW w:w="5461" w:type="dxa"/>
          </w:tcPr>
          <w:p w14:paraId="1CF2225C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Abnormal fetal heart rate patterns (e.g., recurrent late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lastRenderedPageBreak/>
              <w:t xml:space="preserve">decelerations, severe variable decelerations, bradycardia) </w:t>
            </w:r>
            <w:r>
              <w:rPr>
                <w:rFonts w:ascii="Calibri" w:hAnsi="Calibri" w:cs="Calibri"/>
                <w:sz w:val="24"/>
                <w:szCs w:val="24"/>
              </w:rPr>
              <w:t>require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clinical intervention as per intrapartum guidelines.</w:t>
            </w:r>
          </w:p>
        </w:tc>
      </w:tr>
      <w:tr w:rsidR="003F7DD3" w14:paraId="4A57E96E" w14:textId="77777777" w:rsidTr="000E52FB">
        <w:tc>
          <w:tcPr>
            <w:tcW w:w="2835" w:type="dxa"/>
          </w:tcPr>
          <w:p w14:paraId="3D2AEA34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lastRenderedPageBreak/>
              <w:t>Operative vaginal delivery</w:t>
            </w:r>
          </w:p>
        </w:tc>
        <w:tc>
          <w:tcPr>
            <w:tcW w:w="5461" w:type="dxa"/>
          </w:tcPr>
          <w:p w14:paraId="326791FA" w14:textId="718529E5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Vaginal delivery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</w:t>
            </w:r>
            <w:r w:rsidR="006B2E23">
              <w:rPr>
                <w:rFonts w:ascii="Calibri" w:hAnsi="Calibri" w:cs="Calibri"/>
                <w:sz w:val="24"/>
                <w:szCs w:val="24"/>
              </w:rPr>
              <w:t xml:space="preserve">was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accomplished with the use of obstetric forceps.</w:t>
            </w:r>
          </w:p>
        </w:tc>
      </w:tr>
      <w:tr w:rsidR="003F7DD3" w14:paraId="0BDFA128" w14:textId="77777777" w:rsidTr="000E52FB">
        <w:tc>
          <w:tcPr>
            <w:tcW w:w="2835" w:type="dxa"/>
          </w:tcPr>
          <w:p w14:paraId="29A2F0FC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Mediolateral episiotomy</w:t>
            </w:r>
          </w:p>
        </w:tc>
        <w:tc>
          <w:tcPr>
            <w:tcW w:w="5461" w:type="dxa"/>
          </w:tcPr>
          <w:p w14:paraId="6B03CD15" w14:textId="3C663AA2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A surgical incision </w:t>
            </w:r>
            <w:r w:rsidR="006B2E23">
              <w:rPr>
                <w:rFonts w:ascii="Calibri" w:hAnsi="Calibri" w:cs="Calibri"/>
                <w:sz w:val="24"/>
                <w:szCs w:val="24"/>
              </w:rPr>
              <w:t xml:space="preserve">is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made at a </w:t>
            </w:r>
            <w:r>
              <w:rPr>
                <w:rFonts w:ascii="Calibri" w:hAnsi="Calibri" w:cs="Calibri" w:hint="eastAsia"/>
                <w:sz w:val="24"/>
                <w:szCs w:val="24"/>
              </w:rPr>
              <w:t>~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45-</w:t>
            </w:r>
            <w:proofErr w:type="gramStart"/>
            <w:r w:rsidRPr="007A5C00">
              <w:rPr>
                <w:rFonts w:ascii="Calibri" w:hAnsi="Calibri" w:cs="Calibri" w:hint="eastAsia"/>
                <w:sz w:val="24"/>
                <w:szCs w:val="24"/>
              </w:rPr>
              <w:t>60 degree</w:t>
            </w:r>
            <w:proofErr w:type="gramEnd"/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angle from the vaginal fourchette toward the ischiorectal fossa during the second stage of </w:t>
            </w:r>
            <w:r>
              <w:rPr>
                <w:rFonts w:ascii="Calibri" w:hAnsi="Calibri" w:cs="Calibri"/>
                <w:sz w:val="24"/>
                <w:szCs w:val="24"/>
              </w:rPr>
              <w:t>labour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.</w:t>
            </w:r>
          </w:p>
        </w:tc>
      </w:tr>
      <w:tr w:rsidR="003F7DD3" w14:paraId="6DFB47D3" w14:textId="77777777" w:rsidTr="000E52FB">
        <w:tc>
          <w:tcPr>
            <w:tcW w:w="2835" w:type="dxa"/>
          </w:tcPr>
          <w:p w14:paraId="1D363F32" w14:textId="2F10FA51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Admission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to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the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neonatal intensive care unit</w:t>
            </w:r>
            <w:r>
              <w:rPr>
                <w:rFonts w:ascii="Calibri" w:hAnsi="Calibri" w:cs="Calibri" w:hint="eastAsia"/>
                <w:sz w:val="24"/>
                <w:szCs w:val="24"/>
              </w:rPr>
              <w:t xml:space="preserve"> (NICU)</w:t>
            </w:r>
          </w:p>
        </w:tc>
        <w:tc>
          <w:tcPr>
            <w:tcW w:w="5461" w:type="dxa"/>
          </w:tcPr>
          <w:p w14:paraId="45231577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Admission of the newborn to the NICU for &gt;24 hours for any reason.</w:t>
            </w:r>
          </w:p>
        </w:tc>
      </w:tr>
      <w:tr w:rsidR="003F7DD3" w14:paraId="3EAF65A6" w14:textId="77777777" w:rsidTr="000E52FB">
        <w:tc>
          <w:tcPr>
            <w:tcW w:w="2835" w:type="dxa"/>
          </w:tcPr>
          <w:p w14:paraId="5BFF626F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>Neonatal asphyxia</w:t>
            </w:r>
          </w:p>
        </w:tc>
        <w:tc>
          <w:tcPr>
            <w:tcW w:w="5461" w:type="dxa"/>
          </w:tcPr>
          <w:p w14:paraId="6F703508" w14:textId="77777777" w:rsidR="003F7DD3" w:rsidRDefault="003F7DD3" w:rsidP="00D63827">
            <w:pPr>
              <w:rPr>
                <w:rFonts w:ascii="Calibri" w:hAnsi="Calibri" w:cs="Calibri"/>
                <w:sz w:val="24"/>
                <w:szCs w:val="24"/>
              </w:rPr>
            </w:pP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Condition diagnosed by an umbilical artery pH &lt; 7.0 and/or a 5-minute Apgar score 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>≤</w:t>
            </w:r>
            <w:r w:rsidRPr="007A5C00">
              <w:rPr>
                <w:rFonts w:ascii="Calibri" w:hAnsi="Calibri" w:cs="Calibri" w:hint="eastAsia"/>
                <w:sz w:val="24"/>
                <w:szCs w:val="24"/>
              </w:rPr>
              <w:t xml:space="preserve"> 3, or evidence of hypoxic-ischemic encephalopathy.</w:t>
            </w:r>
          </w:p>
        </w:tc>
      </w:tr>
      <w:bookmarkEnd w:id="0"/>
    </w:tbl>
    <w:p w14:paraId="5F1C7445" w14:textId="77777777" w:rsidR="00F73550" w:rsidRPr="00F73550" w:rsidRDefault="00F73550" w:rsidP="007A5C00">
      <w:pPr>
        <w:adjustRightInd w:val="0"/>
        <w:snapToGrid w:val="0"/>
        <w:rPr>
          <w:rFonts w:ascii="Calibri" w:hAnsi="Calibri" w:cs="Calibri" w:hint="eastAsia"/>
          <w:sz w:val="24"/>
          <w:szCs w:val="24"/>
        </w:rPr>
      </w:pPr>
    </w:p>
    <w:sectPr w:rsidR="00F73550" w:rsidRPr="00F73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85BD1" w14:textId="77777777" w:rsidR="00706F2F" w:rsidRDefault="00706F2F" w:rsidP="004E01F6">
      <w:pPr>
        <w:rPr>
          <w:rFonts w:hint="eastAsia"/>
        </w:rPr>
      </w:pPr>
      <w:r>
        <w:separator/>
      </w:r>
    </w:p>
  </w:endnote>
  <w:endnote w:type="continuationSeparator" w:id="0">
    <w:p w14:paraId="1AA1B1CE" w14:textId="77777777" w:rsidR="00706F2F" w:rsidRDefault="00706F2F" w:rsidP="004E01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8E83" w14:textId="77777777" w:rsidR="00706F2F" w:rsidRDefault="00706F2F" w:rsidP="004E01F6">
      <w:pPr>
        <w:rPr>
          <w:rFonts w:hint="eastAsia"/>
        </w:rPr>
      </w:pPr>
      <w:r>
        <w:separator/>
      </w:r>
    </w:p>
  </w:footnote>
  <w:footnote w:type="continuationSeparator" w:id="0">
    <w:p w14:paraId="09289378" w14:textId="77777777" w:rsidR="00706F2F" w:rsidRDefault="00706F2F" w:rsidP="004E01F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B1"/>
    <w:rsid w:val="0000030F"/>
    <w:rsid w:val="000C48D8"/>
    <w:rsid w:val="000D54B1"/>
    <w:rsid w:val="000E0CF5"/>
    <w:rsid w:val="000E52FB"/>
    <w:rsid w:val="000F11EB"/>
    <w:rsid w:val="001259A5"/>
    <w:rsid w:val="002B2DC7"/>
    <w:rsid w:val="002B70CB"/>
    <w:rsid w:val="003478C5"/>
    <w:rsid w:val="00365F0C"/>
    <w:rsid w:val="003F7DD3"/>
    <w:rsid w:val="0044322C"/>
    <w:rsid w:val="004A4BA2"/>
    <w:rsid w:val="004A5714"/>
    <w:rsid w:val="004E01F6"/>
    <w:rsid w:val="00542955"/>
    <w:rsid w:val="00542DAD"/>
    <w:rsid w:val="00621EBA"/>
    <w:rsid w:val="00640E8D"/>
    <w:rsid w:val="006B2E23"/>
    <w:rsid w:val="006C6DF9"/>
    <w:rsid w:val="00706F2F"/>
    <w:rsid w:val="0072222F"/>
    <w:rsid w:val="00735FCF"/>
    <w:rsid w:val="007A5C00"/>
    <w:rsid w:val="008618F1"/>
    <w:rsid w:val="00A41AC4"/>
    <w:rsid w:val="00AB05EB"/>
    <w:rsid w:val="00B73209"/>
    <w:rsid w:val="00BC251F"/>
    <w:rsid w:val="00C84767"/>
    <w:rsid w:val="00D802B2"/>
    <w:rsid w:val="00D81B11"/>
    <w:rsid w:val="00DA5100"/>
    <w:rsid w:val="00DD241C"/>
    <w:rsid w:val="00E2690A"/>
    <w:rsid w:val="00E46873"/>
    <w:rsid w:val="00E6420D"/>
    <w:rsid w:val="00E7546F"/>
    <w:rsid w:val="00F73550"/>
    <w:rsid w:val="00F82C7A"/>
    <w:rsid w:val="00FE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FE54DD"/>
  <w15:chartTrackingRefBased/>
  <w15:docId w15:val="{9DCEFE07-3EAB-44AB-A950-F961FAF7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4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4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4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4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4B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4B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4B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4B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4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D54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D54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D54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D54B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D54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D54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D54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D54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D54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D5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4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D54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5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D54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54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54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5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D54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54B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01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E01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0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E01F6"/>
    <w:rPr>
      <w:sz w:val="18"/>
      <w:szCs w:val="18"/>
    </w:rPr>
  </w:style>
  <w:style w:type="table" w:styleId="af2">
    <w:name w:val="Table Grid"/>
    <w:basedOn w:val="a1"/>
    <w:uiPriority w:val="39"/>
    <w:rsid w:val="007A5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莉莉 徐</dc:creator>
  <cp:keywords/>
  <dc:description/>
  <cp:lastModifiedBy>莉莉 徐</cp:lastModifiedBy>
  <cp:revision>11</cp:revision>
  <dcterms:created xsi:type="dcterms:W3CDTF">2026-01-20T08:01:00Z</dcterms:created>
  <dcterms:modified xsi:type="dcterms:W3CDTF">2026-03-26T07:12:00Z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a46e9f99-fe51-49b4-ad66-8ad6aa47e0a2</vt:lpwstr>
  </property>
</Properties>
</file>