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42EA1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center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Table 5 Analysis of the Fine-Gray Competitive Risk Model (Impact of CV_RFM on CVD Risk)</w:t>
      </w:r>
    </w:p>
    <w:tbl>
      <w:tblPr>
        <w:tblStyle w:val="20"/>
        <w:tblW w:w="9093" w:type="dxa"/>
        <w:tblInd w:w="0" w:type="dxa"/>
        <w:tblBorders>
          <w:top w:val="single" w:color="auto" w:sz="4" w:space="0"/>
          <w:left w:val="single" w:color="E0E0E0" w:sz="6" w:space="0"/>
          <w:bottom w:val="single" w:color="auto" w:sz="4" w:space="0"/>
          <w:right w:val="single" w:color="E0E0E0" w:sz="6" w:space="0"/>
          <w:insideH w:val="single" w:color="auto" w:sz="4" w:space="0"/>
          <w:insideV w:val="single" w:color="E0E0E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1456"/>
        <w:gridCol w:w="1769"/>
        <w:gridCol w:w="1550"/>
        <w:gridCol w:w="2175"/>
        <w:gridCol w:w="969"/>
      </w:tblGrid>
      <w:tr w14:paraId="67D57425">
        <w:tblPrEx>
          <w:tblBorders>
            <w:top w:val="single" w:color="auto" w:sz="4" w:space="0"/>
            <w:left w:val="single" w:color="E0E0E0" w:sz="6" w:space="0"/>
            <w:bottom w:val="single" w:color="auto" w:sz="4" w:space="0"/>
            <w:right w:val="single" w:color="E0E0E0" w:sz="6" w:space="0"/>
            <w:insideH w:val="single" w:color="auto" w:sz="4" w:space="0"/>
            <w:insideV w:val="single" w:color="E0E0E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  <w:tblHeader/>
        </w:trPr>
        <w:tc>
          <w:tcPr>
            <w:tcW w:w="1174" w:type="dxa"/>
            <w:vAlign w:val="center"/>
          </w:tcPr>
          <w:p w14:paraId="5D26BF5C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Variable</w:t>
            </w:r>
          </w:p>
        </w:tc>
        <w:tc>
          <w:tcPr>
            <w:tcW w:w="1456" w:type="dxa"/>
            <w:vAlign w:val="center"/>
          </w:tcPr>
          <w:p w14:paraId="006A4170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Coefficient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 xml:space="preserve"> (β)</w:t>
            </w:r>
          </w:p>
        </w:tc>
        <w:tc>
          <w:tcPr>
            <w:tcW w:w="1769" w:type="dxa"/>
            <w:vAlign w:val="center"/>
          </w:tcPr>
          <w:p w14:paraId="3CE40A56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Standard error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 xml:space="preserve"> (SE)</w:t>
            </w:r>
          </w:p>
        </w:tc>
        <w:tc>
          <w:tcPr>
            <w:tcW w:w="1550" w:type="dxa"/>
            <w:vAlign w:val="center"/>
          </w:tcPr>
          <w:p w14:paraId="542A63A2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Hazard ratio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 xml:space="preserve"> (HR)</w:t>
            </w:r>
          </w:p>
        </w:tc>
        <w:tc>
          <w:tcPr>
            <w:tcW w:w="2175" w:type="dxa"/>
            <w:vAlign w:val="center"/>
          </w:tcPr>
          <w:p w14:paraId="274704F7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 xml:space="preserve">95%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onfidence interval</w:t>
            </w:r>
          </w:p>
        </w:tc>
        <w:tc>
          <w:tcPr>
            <w:tcW w:w="969" w:type="dxa"/>
            <w:vAlign w:val="center"/>
          </w:tcPr>
          <w:p w14:paraId="36814548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value</w:t>
            </w:r>
          </w:p>
        </w:tc>
      </w:tr>
      <w:tr w14:paraId="1CF08B56">
        <w:tblPrEx>
          <w:tblBorders>
            <w:top w:val="single" w:color="auto" w:sz="4" w:space="0"/>
            <w:left w:val="single" w:color="E0E0E0" w:sz="6" w:space="0"/>
            <w:bottom w:val="single" w:color="auto" w:sz="4" w:space="0"/>
            <w:right w:val="single" w:color="E0E0E0" w:sz="6" w:space="0"/>
            <w:insideH w:val="single" w:color="auto" w:sz="4" w:space="0"/>
            <w:insideV w:val="single" w:color="E0E0E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74" w:type="dxa"/>
            <w:vAlign w:val="center"/>
          </w:tcPr>
          <w:p w14:paraId="1B1DDDCC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CV_RFM</w:t>
            </w:r>
          </w:p>
        </w:tc>
        <w:tc>
          <w:tcPr>
            <w:tcW w:w="1456" w:type="dxa"/>
            <w:vAlign w:val="center"/>
          </w:tcPr>
          <w:p w14:paraId="7C82F8DA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-0.01498</w:t>
            </w:r>
          </w:p>
        </w:tc>
        <w:tc>
          <w:tcPr>
            <w:tcW w:w="1769" w:type="dxa"/>
            <w:vAlign w:val="center"/>
          </w:tcPr>
          <w:p w14:paraId="5F9F7331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0.006509</w:t>
            </w:r>
          </w:p>
        </w:tc>
        <w:tc>
          <w:tcPr>
            <w:tcW w:w="1550" w:type="dxa"/>
            <w:vAlign w:val="center"/>
          </w:tcPr>
          <w:p w14:paraId="30459D9E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0.9851</w:t>
            </w:r>
          </w:p>
        </w:tc>
        <w:tc>
          <w:tcPr>
            <w:tcW w:w="2175" w:type="dxa"/>
            <w:vAlign w:val="center"/>
          </w:tcPr>
          <w:p w14:paraId="23D38A91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0.9726 - 0.9978</w:t>
            </w:r>
          </w:p>
        </w:tc>
        <w:tc>
          <w:tcPr>
            <w:tcW w:w="969" w:type="dxa"/>
            <w:vAlign w:val="center"/>
          </w:tcPr>
          <w:p w14:paraId="30F5E81D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0.0213</w:t>
            </w:r>
          </w:p>
        </w:tc>
      </w:tr>
    </w:tbl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Note: This table presents results from the Fine-Gray competing risks model using all-cause mortality as the competing event, used to assess the independent association between CV_RFM and CVD incidence risk.</w:t>
      </w:r>
      <w:bookmarkStart w:id="0" w:name="_GoBack"/>
      <w:bookmarkEnd w:id="0"/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3128F0"/>
    <w:rsid w:val="24D80578"/>
    <w:rsid w:val="2608314D"/>
    <w:rsid w:val="36B81B91"/>
    <w:rsid w:val="3790083E"/>
    <w:rsid w:val="41AD4CAA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FB260B3"/>
    <w:rsid w:val="74842467"/>
    <w:rsid w:val="77E837A3"/>
    <w:rsid w:val="7B43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1</Pages>
  <Words>845</Words>
  <Characters>5450</Characters>
  <Lines>269</Lines>
  <Paragraphs>76</Paragraphs>
  <TotalTime>4</TotalTime>
  <ScaleCrop>false</ScaleCrop>
  <LinksUpToDate>false</LinksUpToDate>
  <CharactersWithSpaces>5883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2026-03-26T10:06:35Z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