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B7B67" w14:textId="77777777" w:rsidR="0028125D" w:rsidRDefault="0028125D" w:rsidP="0028125D">
      <w:pPr>
        <w:jc w:val="center"/>
        <w:rPr>
          <w:b/>
          <w:sz w:val="40"/>
          <w:szCs w:val="40"/>
          <w:lang w:val="en-GB"/>
        </w:rPr>
      </w:pPr>
      <w:r w:rsidRPr="00CB3C26">
        <w:rPr>
          <w:b/>
          <w:sz w:val="40"/>
          <w:szCs w:val="40"/>
          <w:lang w:val="en-GB"/>
        </w:rPr>
        <w:t>Spatiotemporal control of molecular delivery in the brain using photoactivable polymersomes</w:t>
      </w:r>
    </w:p>
    <w:p w14:paraId="56A9D9FC" w14:textId="77777777" w:rsidR="0028125D" w:rsidRPr="0028125D" w:rsidRDefault="0028125D" w:rsidP="0028125D">
      <w:pPr>
        <w:pStyle w:val="Paragraphedeliste"/>
        <w:numPr>
          <w:ilvl w:val="0"/>
          <w:numId w:val="1"/>
        </w:numPr>
        <w:jc w:val="center"/>
        <w:rPr>
          <w:b/>
          <w:sz w:val="40"/>
          <w:szCs w:val="40"/>
          <w:lang w:val="en-GB"/>
        </w:rPr>
      </w:pPr>
      <w:r>
        <w:rPr>
          <w:b/>
          <w:sz w:val="40"/>
          <w:szCs w:val="40"/>
          <w:lang w:val="en-GB"/>
        </w:rPr>
        <w:t xml:space="preserve">Supplemental Information - </w:t>
      </w:r>
    </w:p>
    <w:p w14:paraId="4D1C81E5" w14:textId="772EDA96" w:rsidR="0028125D" w:rsidRDefault="0028125D" w:rsidP="0028125D">
      <w:pPr>
        <w:spacing w:after="0" w:line="360" w:lineRule="auto"/>
        <w:jc w:val="both"/>
        <w:rPr>
          <w:rFonts w:cstheme="minorHAnsi"/>
          <w:vertAlign w:val="superscript"/>
          <w:lang w:val="en-GB"/>
        </w:rPr>
      </w:pPr>
      <w:r w:rsidRPr="00DF7392">
        <w:rPr>
          <w:rFonts w:cstheme="minorHAnsi"/>
          <w:lang w:val="en-GB"/>
        </w:rPr>
        <w:t>Camille Ruffier</w:t>
      </w:r>
      <w:r w:rsidRPr="00DF7392">
        <w:rPr>
          <w:rFonts w:cstheme="minorHAnsi"/>
          <w:vertAlign w:val="superscript"/>
          <w:lang w:val="en-GB"/>
        </w:rPr>
        <w:t>1</w:t>
      </w:r>
      <w:r w:rsidRPr="00DF7392">
        <w:rPr>
          <w:rFonts w:cstheme="minorHAnsi"/>
          <w:lang w:val="en-GB"/>
        </w:rPr>
        <w:t>, Emmanuel Ibarboure</w:t>
      </w:r>
      <w:r w:rsidRPr="00DF7392">
        <w:rPr>
          <w:rFonts w:cstheme="minorHAnsi"/>
          <w:vertAlign w:val="superscript"/>
          <w:lang w:val="en-GB"/>
        </w:rPr>
        <w:t>2</w:t>
      </w:r>
      <w:r w:rsidRPr="00DF7392">
        <w:rPr>
          <w:rFonts w:cstheme="minorHAnsi"/>
          <w:lang w:val="en-GB"/>
        </w:rPr>
        <w:t>, Benjamin Chauvineau</w:t>
      </w:r>
      <w:r w:rsidRPr="00DF7392">
        <w:rPr>
          <w:rFonts w:cstheme="minorHAnsi"/>
          <w:vertAlign w:val="superscript"/>
          <w:lang w:val="en-GB"/>
        </w:rPr>
        <w:t>1</w:t>
      </w:r>
      <w:r w:rsidRPr="00DF7392">
        <w:rPr>
          <w:rFonts w:cstheme="minorHAnsi"/>
          <w:lang w:val="en-GB"/>
        </w:rPr>
        <w:t xml:space="preserve">, </w:t>
      </w:r>
      <w:r w:rsidRPr="005E1CEA">
        <w:rPr>
          <w:rFonts w:cstheme="minorHAnsi"/>
          <w:lang w:val="en-GB"/>
        </w:rPr>
        <w:t>Noël Pairault</w:t>
      </w:r>
      <w:r>
        <w:rPr>
          <w:rFonts w:cstheme="minorHAnsi"/>
          <w:vertAlign w:val="superscript"/>
          <w:lang w:val="en-GB"/>
        </w:rPr>
        <w:t>3</w:t>
      </w:r>
      <w:r w:rsidRPr="005E1CEA">
        <w:rPr>
          <w:rFonts w:cstheme="minorHAnsi"/>
          <w:lang w:val="en-GB"/>
        </w:rPr>
        <w:t xml:space="preserve">, </w:t>
      </w:r>
      <w:r w:rsidRPr="00DF7392">
        <w:rPr>
          <w:rFonts w:cstheme="minorHAnsi"/>
          <w:lang w:val="en-GB"/>
        </w:rPr>
        <w:t>Jean-Christophe Helbling</w:t>
      </w:r>
      <w:r w:rsidRPr="00DF7392">
        <w:rPr>
          <w:rFonts w:cstheme="minorHAnsi"/>
          <w:vertAlign w:val="superscript"/>
          <w:lang w:val="en-GB"/>
        </w:rPr>
        <w:t>1</w:t>
      </w:r>
      <w:r w:rsidRPr="00DF7392">
        <w:rPr>
          <w:rFonts w:cstheme="minorHAnsi"/>
          <w:lang w:val="en-GB"/>
        </w:rPr>
        <w:t>, Maria-Florencia Angelo</w:t>
      </w:r>
      <w:r w:rsidRPr="00DF7392">
        <w:rPr>
          <w:rFonts w:cstheme="minorHAnsi"/>
          <w:vertAlign w:val="superscript"/>
          <w:lang w:val="en-GB"/>
        </w:rPr>
        <w:t>1</w:t>
      </w:r>
      <w:r w:rsidRPr="00DF7392">
        <w:rPr>
          <w:rFonts w:cstheme="minorHAnsi"/>
          <w:lang w:val="en-GB"/>
        </w:rPr>
        <w:t xml:space="preserve">, </w:t>
      </w:r>
      <w:r w:rsidRPr="005E1CEA">
        <w:rPr>
          <w:rFonts w:cstheme="minorHAnsi"/>
          <w:lang w:val="en-GB"/>
        </w:rPr>
        <w:t>Rémi Kinet</w:t>
      </w:r>
      <w:r>
        <w:rPr>
          <w:rFonts w:cstheme="minorHAnsi"/>
          <w:vertAlign w:val="superscript"/>
          <w:lang w:val="en-GB"/>
        </w:rPr>
        <w:t>4</w:t>
      </w:r>
      <w:r w:rsidRPr="005E1CEA">
        <w:rPr>
          <w:rFonts w:cstheme="minorHAnsi"/>
          <w:lang w:val="en-GB"/>
        </w:rPr>
        <w:t>, Benjamin Dehay</w:t>
      </w:r>
      <w:r>
        <w:rPr>
          <w:rFonts w:cstheme="minorHAnsi"/>
          <w:vertAlign w:val="superscript"/>
          <w:lang w:val="en-GB"/>
        </w:rPr>
        <w:t>4</w:t>
      </w:r>
      <w:r w:rsidRPr="005E1CEA">
        <w:rPr>
          <w:rFonts w:cstheme="minorHAnsi"/>
          <w:lang w:val="en-GB"/>
        </w:rPr>
        <w:t>,</w:t>
      </w:r>
      <w:r>
        <w:rPr>
          <w:rFonts w:cstheme="minorHAnsi"/>
          <w:vertAlign w:val="superscript"/>
          <w:lang w:val="en-GB"/>
        </w:rPr>
        <w:t xml:space="preserve"> </w:t>
      </w:r>
      <w:r w:rsidRPr="000C1D7C">
        <w:rPr>
          <w:rFonts w:cstheme="minorHAnsi"/>
          <w:lang w:val="en-GB"/>
        </w:rPr>
        <w:t>Sébastien Marais</w:t>
      </w:r>
      <w:r>
        <w:rPr>
          <w:rFonts w:cstheme="minorHAnsi"/>
          <w:vertAlign w:val="superscript"/>
          <w:lang w:val="en-GB"/>
        </w:rPr>
        <w:t>5</w:t>
      </w:r>
      <w:r w:rsidRPr="000C1D7C">
        <w:rPr>
          <w:rFonts w:cstheme="minorHAnsi"/>
          <w:lang w:val="en-GB"/>
        </w:rPr>
        <w:t>,</w:t>
      </w:r>
      <w:r>
        <w:rPr>
          <w:rFonts w:cstheme="minorHAnsi"/>
          <w:lang w:val="en-GB"/>
        </w:rPr>
        <w:t xml:space="preserve"> </w:t>
      </w:r>
      <w:r w:rsidRPr="00DF7392">
        <w:rPr>
          <w:rFonts w:cstheme="minorHAnsi"/>
          <w:lang w:val="en-GB"/>
        </w:rPr>
        <w:t>Aryan Mohanani</w:t>
      </w:r>
      <w:r w:rsidRPr="00DF7392">
        <w:rPr>
          <w:rFonts w:cstheme="minorHAnsi"/>
          <w:vertAlign w:val="superscript"/>
          <w:lang w:val="en-GB"/>
        </w:rPr>
        <w:t>1</w:t>
      </w:r>
      <w:r w:rsidRPr="00DF7392">
        <w:rPr>
          <w:rFonts w:cstheme="minorHAnsi"/>
          <w:lang w:val="en-GB"/>
        </w:rPr>
        <w:t xml:space="preserve">, </w:t>
      </w:r>
      <w:r w:rsidR="00F422D7">
        <w:rPr>
          <w:rFonts w:cstheme="minorHAnsi"/>
          <w:lang w:val="en-GB"/>
        </w:rPr>
        <w:t>Jean-Charles Nicolas</w:t>
      </w:r>
      <w:r w:rsidR="00F422D7" w:rsidRPr="003E1741">
        <w:rPr>
          <w:rFonts w:cstheme="minorHAnsi"/>
          <w:vertAlign w:val="superscript"/>
          <w:lang w:val="en-GB"/>
        </w:rPr>
        <w:t>1</w:t>
      </w:r>
      <w:r w:rsidR="00F422D7">
        <w:rPr>
          <w:rFonts w:cstheme="minorHAnsi"/>
          <w:lang w:val="en-GB"/>
        </w:rPr>
        <w:t>,</w:t>
      </w:r>
      <w:r w:rsidR="00F422D7">
        <w:rPr>
          <w:rFonts w:cstheme="minorHAnsi"/>
          <w:lang w:val="en-GB"/>
        </w:rPr>
        <w:t xml:space="preserve"> </w:t>
      </w:r>
      <w:r w:rsidRPr="00DF7392">
        <w:rPr>
          <w:rFonts w:cstheme="minorHAnsi"/>
          <w:lang w:val="en-GB"/>
        </w:rPr>
        <w:t>Baptiste Texier</w:t>
      </w:r>
      <w:r w:rsidRPr="003E1741">
        <w:rPr>
          <w:rFonts w:cstheme="minorHAnsi"/>
          <w:vertAlign w:val="superscript"/>
          <w:lang w:val="en-GB"/>
        </w:rPr>
        <w:t>1</w:t>
      </w:r>
      <w:r w:rsidRPr="00DF7392">
        <w:rPr>
          <w:rFonts w:cstheme="minorHAnsi"/>
          <w:lang w:val="en-GB"/>
        </w:rPr>
        <w:t>, Zahra Sebghati Mamaghani</w:t>
      </w:r>
      <w:r w:rsidRPr="003E1741">
        <w:rPr>
          <w:rFonts w:cstheme="minorHAnsi"/>
          <w:vertAlign w:val="superscript"/>
          <w:lang w:val="en-GB"/>
        </w:rPr>
        <w:t>1</w:t>
      </w:r>
      <w:r w:rsidRPr="00DF7392">
        <w:rPr>
          <w:rFonts w:cstheme="minorHAnsi"/>
          <w:lang w:val="en-GB"/>
        </w:rPr>
        <w:t xml:space="preserve">, </w:t>
      </w:r>
      <w:proofErr w:type="spellStart"/>
      <w:r w:rsidRPr="005E1CEA">
        <w:rPr>
          <w:rFonts w:cstheme="minorHAnsi"/>
          <w:lang w:val="en-GB"/>
        </w:rPr>
        <w:t>Akshay</w:t>
      </w:r>
      <w:proofErr w:type="spellEnd"/>
      <w:r w:rsidRPr="005E1CEA">
        <w:rPr>
          <w:rFonts w:cstheme="minorHAnsi"/>
          <w:lang w:val="en-GB"/>
        </w:rPr>
        <w:t xml:space="preserve"> Silswal</w:t>
      </w:r>
      <w:r>
        <w:rPr>
          <w:rFonts w:cstheme="minorHAnsi"/>
          <w:vertAlign w:val="superscript"/>
          <w:lang w:val="en-GB"/>
        </w:rPr>
        <w:t>3</w:t>
      </w:r>
      <w:r w:rsidRPr="005E1CEA">
        <w:rPr>
          <w:rFonts w:cstheme="minorHAnsi"/>
          <w:lang w:val="en-GB"/>
        </w:rPr>
        <w:t>,</w:t>
      </w:r>
      <w:r>
        <w:rPr>
          <w:rFonts w:cstheme="minorHAnsi"/>
          <w:vertAlign w:val="superscript"/>
          <w:lang w:val="en-GB"/>
        </w:rPr>
        <w:t xml:space="preserve"> </w:t>
      </w:r>
      <w:r w:rsidRPr="00DF7392">
        <w:rPr>
          <w:rFonts w:cstheme="minorHAnsi"/>
          <w:lang w:val="en-GB"/>
        </w:rPr>
        <w:t>Pierre Trifilieff</w:t>
      </w:r>
      <w:r w:rsidRPr="00DF7392">
        <w:rPr>
          <w:rFonts w:cstheme="minorHAnsi"/>
          <w:vertAlign w:val="superscript"/>
          <w:lang w:val="en-GB"/>
        </w:rPr>
        <w:t>1</w:t>
      </w:r>
      <w:r w:rsidRPr="00DF7392">
        <w:rPr>
          <w:rFonts w:cstheme="minorHAnsi"/>
          <w:lang w:val="en-GB"/>
        </w:rPr>
        <w:t xml:space="preserve">, </w:t>
      </w:r>
      <w:r w:rsidRPr="00CF434A">
        <w:rPr>
          <w:rFonts w:cstheme="minorHAnsi"/>
          <w:lang w:val="en-GB"/>
        </w:rPr>
        <w:t>Nathan D. McClenaghan</w:t>
      </w:r>
      <w:r>
        <w:rPr>
          <w:rFonts w:cstheme="minorHAnsi"/>
          <w:vertAlign w:val="superscript"/>
          <w:lang w:val="en-GB"/>
        </w:rPr>
        <w:t>3</w:t>
      </w:r>
      <w:r w:rsidRPr="00CF434A">
        <w:rPr>
          <w:rFonts w:cstheme="minorHAnsi"/>
          <w:lang w:val="en-GB"/>
        </w:rPr>
        <w:t>,</w:t>
      </w:r>
      <w:r w:rsidRPr="00DF7392">
        <w:rPr>
          <w:rFonts w:cstheme="minorHAnsi"/>
          <w:lang w:val="en-GB"/>
        </w:rPr>
        <w:t xml:space="preserve"> Sébastien Lecommandoux</w:t>
      </w:r>
      <w:r w:rsidRPr="00DF7392">
        <w:rPr>
          <w:rFonts w:cstheme="minorHAnsi"/>
          <w:vertAlign w:val="superscript"/>
          <w:lang w:val="en-GB"/>
        </w:rPr>
        <w:t>2,</w:t>
      </w:r>
      <w:proofErr w:type="gramStart"/>
      <w:r w:rsidRPr="00DF7392">
        <w:rPr>
          <w:rFonts w:cstheme="minorHAnsi"/>
          <w:vertAlign w:val="superscript"/>
          <w:lang w:val="en-GB"/>
        </w:rPr>
        <w:t>6</w:t>
      </w:r>
      <w:r>
        <w:rPr>
          <w:rFonts w:cstheme="minorHAnsi"/>
          <w:vertAlign w:val="superscript"/>
          <w:lang w:val="en-GB"/>
        </w:rPr>
        <w:t>,#</w:t>
      </w:r>
      <w:proofErr w:type="gramEnd"/>
      <w:r>
        <w:rPr>
          <w:rFonts w:cstheme="minorHAnsi"/>
          <w:lang w:val="en-GB"/>
        </w:rPr>
        <w:t>, C</w:t>
      </w:r>
      <w:r w:rsidRPr="00DF7392">
        <w:rPr>
          <w:rFonts w:cstheme="minorHAnsi"/>
          <w:lang w:val="en-GB"/>
        </w:rPr>
        <w:t>lémentine Bosch-Bouju</w:t>
      </w:r>
      <w:r w:rsidRPr="00DF7392">
        <w:rPr>
          <w:rFonts w:cstheme="minorHAnsi"/>
          <w:vertAlign w:val="superscript"/>
          <w:lang w:val="en-GB"/>
        </w:rPr>
        <w:t>1</w:t>
      </w:r>
      <w:r>
        <w:rPr>
          <w:rFonts w:cstheme="minorHAnsi"/>
          <w:vertAlign w:val="superscript"/>
          <w:lang w:val="en-GB"/>
        </w:rPr>
        <w:t>,#</w:t>
      </w:r>
    </w:p>
    <w:p w14:paraId="59B016DD" w14:textId="77777777" w:rsidR="0028125D" w:rsidRPr="00DF7392" w:rsidRDefault="0028125D" w:rsidP="0028125D">
      <w:pPr>
        <w:spacing w:after="0" w:line="360" w:lineRule="auto"/>
        <w:jc w:val="both"/>
        <w:rPr>
          <w:rFonts w:cstheme="minorHAnsi"/>
          <w:u w:val="single"/>
          <w:lang w:val="en-GB"/>
        </w:rPr>
      </w:pPr>
    </w:p>
    <w:p w14:paraId="536A12F9" w14:textId="77777777" w:rsidR="0028125D" w:rsidRPr="000C1D7C" w:rsidRDefault="0028125D" w:rsidP="0028125D">
      <w:pPr>
        <w:pStyle w:val="Sansinterligne"/>
        <w:spacing w:line="360" w:lineRule="auto"/>
        <w:jc w:val="both"/>
        <w:rPr>
          <w:rFonts w:cstheme="minorHAnsi"/>
          <w:i/>
          <w:iCs/>
          <w:color w:val="000000" w:themeColor="text1"/>
          <w:lang w:val="en-GB"/>
        </w:rPr>
      </w:pPr>
      <w:r w:rsidRPr="000C1D7C">
        <w:rPr>
          <w:rFonts w:cstheme="minorHAnsi"/>
          <w:i/>
          <w:iCs/>
          <w:color w:val="000000" w:themeColor="text1"/>
          <w:vertAlign w:val="superscript"/>
          <w:lang w:val="en-GB"/>
        </w:rPr>
        <w:t>1</w:t>
      </w:r>
      <w:r w:rsidRPr="000C1D7C">
        <w:rPr>
          <w:rFonts w:cstheme="minorHAnsi"/>
          <w:i/>
          <w:iCs/>
          <w:color w:val="000000" w:themeColor="text1"/>
          <w:lang w:val="en-GB"/>
        </w:rPr>
        <w:t xml:space="preserve"> Nutrition and Integrative Neurobiology laboratory (</w:t>
      </w:r>
      <w:proofErr w:type="spellStart"/>
      <w:r w:rsidRPr="000C1D7C">
        <w:rPr>
          <w:rFonts w:cstheme="minorHAnsi"/>
          <w:i/>
          <w:iCs/>
          <w:color w:val="000000" w:themeColor="text1"/>
          <w:lang w:val="en-GB"/>
        </w:rPr>
        <w:t>NutriNeuro</w:t>
      </w:r>
      <w:proofErr w:type="spellEnd"/>
      <w:r w:rsidRPr="000C1D7C">
        <w:rPr>
          <w:rFonts w:cstheme="minorHAnsi"/>
          <w:i/>
          <w:iCs/>
          <w:color w:val="000000" w:themeColor="text1"/>
          <w:lang w:val="en-GB"/>
        </w:rPr>
        <w:t>), UMR 1286, INRAE, Université de Bordeaux, Bordeaux INP, Bordeaux, France</w:t>
      </w:r>
    </w:p>
    <w:p w14:paraId="2766A982" w14:textId="77777777" w:rsidR="0028125D" w:rsidRPr="000C1D7C" w:rsidRDefault="0028125D" w:rsidP="0028125D">
      <w:pPr>
        <w:pStyle w:val="Sansinterligne"/>
        <w:spacing w:line="360" w:lineRule="auto"/>
        <w:jc w:val="both"/>
        <w:rPr>
          <w:rFonts w:cstheme="minorHAnsi"/>
          <w:i/>
          <w:iCs/>
          <w:color w:val="000000" w:themeColor="text1"/>
          <w:lang w:val="en-GB"/>
        </w:rPr>
      </w:pPr>
      <w:r w:rsidRPr="000C1D7C">
        <w:rPr>
          <w:rFonts w:cstheme="minorHAnsi"/>
          <w:i/>
          <w:iCs/>
          <w:color w:val="000000" w:themeColor="text1"/>
          <w:vertAlign w:val="superscript"/>
          <w:lang w:val="en-GB"/>
        </w:rPr>
        <w:t>2</w:t>
      </w:r>
      <w:r w:rsidRPr="000C1D7C">
        <w:rPr>
          <w:rFonts w:cstheme="minorHAnsi"/>
          <w:i/>
          <w:iCs/>
          <w:color w:val="000000" w:themeColor="text1"/>
          <w:lang w:val="en-GB"/>
        </w:rPr>
        <w:t xml:space="preserve"> Organic Polymer Chemistry laboratory (LCPO), UMR 5629, CNRS, Université de Bordeaux, Bordeaux INP, ENSMAC, Pessac, France</w:t>
      </w:r>
    </w:p>
    <w:p w14:paraId="2881ABE8" w14:textId="77777777" w:rsidR="0028125D" w:rsidRPr="00507137" w:rsidRDefault="0028125D" w:rsidP="0028125D">
      <w:pPr>
        <w:pStyle w:val="Sansinterligne"/>
        <w:spacing w:line="360" w:lineRule="auto"/>
        <w:jc w:val="both"/>
        <w:rPr>
          <w:rFonts w:cstheme="minorHAnsi"/>
          <w:i/>
          <w:iCs/>
          <w:color w:val="000000" w:themeColor="text1"/>
          <w:shd w:val="clear" w:color="auto" w:fill="FFFFFF"/>
        </w:rPr>
      </w:pPr>
      <w:r>
        <w:rPr>
          <w:rFonts w:cstheme="minorHAnsi"/>
          <w:i/>
          <w:iCs/>
          <w:color w:val="000000" w:themeColor="text1"/>
          <w:vertAlign w:val="superscript"/>
        </w:rPr>
        <w:t>3</w:t>
      </w:r>
      <w:r w:rsidRPr="00507137">
        <w:rPr>
          <w:rFonts w:cstheme="minorHAnsi"/>
          <w:i/>
          <w:iCs/>
          <w:color w:val="000000" w:themeColor="text1"/>
        </w:rPr>
        <w:t xml:space="preserve"> Institute of </w:t>
      </w:r>
      <w:proofErr w:type="spellStart"/>
      <w:r w:rsidRPr="00507137">
        <w:rPr>
          <w:rFonts w:cstheme="minorHAnsi"/>
          <w:i/>
          <w:iCs/>
          <w:color w:val="000000" w:themeColor="text1"/>
        </w:rPr>
        <w:t>Molecular</w:t>
      </w:r>
      <w:proofErr w:type="spellEnd"/>
      <w:r w:rsidRPr="00507137">
        <w:rPr>
          <w:rFonts w:cstheme="minorHAnsi"/>
          <w:i/>
          <w:iCs/>
          <w:color w:val="000000" w:themeColor="text1"/>
        </w:rPr>
        <w:t xml:space="preserve"> Sciences (ISM), </w:t>
      </w:r>
      <w:r w:rsidRPr="00507137">
        <w:rPr>
          <w:rFonts w:cstheme="minorHAnsi"/>
          <w:i/>
          <w:iCs/>
          <w:color w:val="000000" w:themeColor="text1"/>
          <w:shd w:val="clear" w:color="auto" w:fill="FFFFFF"/>
        </w:rPr>
        <w:t>UMR 5255, Université de Bordeaux, CNRS, Talence, France</w:t>
      </w:r>
    </w:p>
    <w:p w14:paraId="11ACA84B" w14:textId="77777777" w:rsidR="0028125D" w:rsidRPr="00551670" w:rsidRDefault="0028125D" w:rsidP="0028125D">
      <w:pPr>
        <w:pStyle w:val="Sansinterligne"/>
        <w:spacing w:line="360" w:lineRule="auto"/>
        <w:jc w:val="both"/>
        <w:rPr>
          <w:rFonts w:cstheme="minorHAnsi"/>
          <w:i/>
          <w:iCs/>
          <w:color w:val="000000" w:themeColor="text1"/>
          <w:shd w:val="clear" w:color="auto" w:fill="FFFFFF"/>
        </w:rPr>
      </w:pPr>
      <w:r>
        <w:rPr>
          <w:rFonts w:cstheme="minorHAnsi"/>
          <w:i/>
          <w:iCs/>
          <w:color w:val="000000" w:themeColor="text1"/>
          <w:shd w:val="clear" w:color="auto" w:fill="FFFFFF"/>
          <w:vertAlign w:val="superscript"/>
        </w:rPr>
        <w:t>4</w:t>
      </w:r>
      <w:r w:rsidRPr="00551670">
        <w:rPr>
          <w:rFonts w:cstheme="minorHAnsi"/>
          <w:i/>
          <w:iCs/>
          <w:color w:val="000000" w:themeColor="text1"/>
          <w:shd w:val="clear" w:color="auto" w:fill="FFFFFF"/>
        </w:rPr>
        <w:t xml:space="preserve"> Institut des Maladies neurodégénératives, CNRS UMR 5293, Université de Bordeaux, Centre Broca Nouvelle Aquitaine, Bordeaux, France</w:t>
      </w:r>
    </w:p>
    <w:p w14:paraId="27C103E3" w14:textId="77777777" w:rsidR="0028125D" w:rsidRDefault="0028125D" w:rsidP="0028125D">
      <w:pPr>
        <w:pStyle w:val="Sansinterligne"/>
        <w:spacing w:line="360" w:lineRule="auto"/>
        <w:jc w:val="both"/>
        <w:rPr>
          <w:rFonts w:cstheme="minorHAnsi"/>
          <w:i/>
          <w:iCs/>
          <w:color w:val="000000" w:themeColor="text1"/>
          <w:shd w:val="clear" w:color="auto" w:fill="FFFFFF"/>
        </w:rPr>
      </w:pPr>
      <w:r>
        <w:rPr>
          <w:rFonts w:cstheme="minorHAnsi"/>
          <w:i/>
          <w:iCs/>
          <w:color w:val="000000" w:themeColor="text1"/>
          <w:shd w:val="clear" w:color="auto" w:fill="FFFFFF"/>
          <w:vertAlign w:val="superscript"/>
        </w:rPr>
        <w:t>5</w:t>
      </w:r>
      <w:r w:rsidRPr="00551670">
        <w:rPr>
          <w:rFonts w:cstheme="minorHAnsi"/>
          <w:i/>
          <w:iCs/>
          <w:color w:val="000000" w:themeColor="text1"/>
          <w:shd w:val="clear" w:color="auto" w:fill="FFFFFF"/>
        </w:rPr>
        <w:t xml:space="preserve"> Bordeaux Imaging Center (BIC), UAR 3420, CNRS, Université Bordeaux, US4 INSERM, Centre Broca Nouvelle Aquitaine, Bordeaux, </w:t>
      </w:r>
      <w:r>
        <w:rPr>
          <w:rFonts w:cstheme="minorHAnsi"/>
          <w:i/>
          <w:iCs/>
          <w:color w:val="000000" w:themeColor="text1"/>
          <w:shd w:val="clear" w:color="auto" w:fill="FFFFFF"/>
        </w:rPr>
        <w:t>France</w:t>
      </w:r>
    </w:p>
    <w:p w14:paraId="32BEEF9C" w14:textId="77777777" w:rsidR="0028125D" w:rsidRDefault="0028125D" w:rsidP="0028125D">
      <w:pPr>
        <w:pStyle w:val="Sansinterligne"/>
        <w:spacing w:line="360" w:lineRule="auto"/>
        <w:jc w:val="both"/>
        <w:rPr>
          <w:rFonts w:cstheme="minorHAnsi"/>
          <w:i/>
          <w:iCs/>
          <w:color w:val="000000" w:themeColor="text1"/>
          <w:shd w:val="clear" w:color="auto" w:fill="FFFFFF"/>
        </w:rPr>
      </w:pPr>
      <w:r w:rsidRPr="00575A38">
        <w:rPr>
          <w:rFonts w:cstheme="minorHAnsi"/>
          <w:i/>
          <w:iCs/>
          <w:color w:val="000000" w:themeColor="text1"/>
          <w:shd w:val="clear" w:color="auto" w:fill="FFFFFF"/>
          <w:vertAlign w:val="superscript"/>
        </w:rPr>
        <w:t>6</w:t>
      </w:r>
      <w:r>
        <w:rPr>
          <w:rFonts w:cstheme="minorHAnsi"/>
          <w:i/>
          <w:iCs/>
          <w:color w:val="000000" w:themeColor="text1"/>
          <w:shd w:val="clear" w:color="auto" w:fill="FFFFFF"/>
        </w:rPr>
        <w:t xml:space="preserve"> Institut Universitaire de France (IUF)</w:t>
      </w:r>
    </w:p>
    <w:p w14:paraId="61FB0CD6" w14:textId="77777777" w:rsidR="0028125D" w:rsidRPr="00DF7392" w:rsidRDefault="0028125D" w:rsidP="0028125D">
      <w:pPr>
        <w:pStyle w:val="Sansinterligne"/>
        <w:spacing w:line="360" w:lineRule="auto"/>
        <w:rPr>
          <w:rFonts w:cstheme="minorHAnsi"/>
          <w:i/>
          <w:iCs/>
          <w:color w:val="000000" w:themeColor="text1"/>
          <w:shd w:val="clear" w:color="auto" w:fill="FFFFFF"/>
          <w:lang w:val="en-GB"/>
        </w:rPr>
      </w:pPr>
      <w:r w:rsidRPr="00DF7392">
        <w:rPr>
          <w:rFonts w:cstheme="minorHAnsi"/>
          <w:i/>
          <w:iCs/>
          <w:color w:val="000000" w:themeColor="text1"/>
          <w:shd w:val="clear" w:color="auto" w:fill="FFFFFF"/>
          <w:vertAlign w:val="superscript"/>
          <w:lang w:val="en-GB"/>
        </w:rPr>
        <w:t>#</w:t>
      </w:r>
      <w:r w:rsidRPr="00DF7392">
        <w:rPr>
          <w:rFonts w:cstheme="minorHAnsi"/>
          <w:i/>
          <w:iCs/>
          <w:color w:val="000000" w:themeColor="text1"/>
          <w:shd w:val="clear" w:color="auto" w:fill="FFFFFF"/>
          <w:lang w:val="en-GB"/>
        </w:rPr>
        <w:t xml:space="preserve"> </w:t>
      </w:r>
      <w:r w:rsidR="005845CB" w:rsidRPr="005845CB">
        <w:rPr>
          <w:rFonts w:cstheme="minorHAnsi"/>
          <w:i/>
          <w:iCs/>
          <w:color w:val="000000" w:themeColor="text1"/>
          <w:shd w:val="clear" w:color="auto" w:fill="FFFFFF"/>
          <w:lang w:val="en-GB"/>
        </w:rPr>
        <w:t xml:space="preserve">Corresponding authors: </w:t>
      </w:r>
      <w:hyperlink r:id="rId8" w:history="1">
        <w:r w:rsidR="005845CB" w:rsidRPr="0073270F">
          <w:rPr>
            <w:rStyle w:val="Lienhypertexte"/>
            <w:rFonts w:cstheme="minorHAnsi"/>
            <w:i/>
            <w:iCs/>
            <w:shd w:val="clear" w:color="auto" w:fill="FFFFFF"/>
            <w:lang w:val="en-GB"/>
          </w:rPr>
          <w:t>clementine.bosch_bouju@bordeaux-inp.fr</w:t>
        </w:r>
      </w:hyperlink>
      <w:r w:rsidR="005845CB" w:rsidRPr="005845CB">
        <w:rPr>
          <w:rFonts w:cstheme="minorHAnsi"/>
          <w:i/>
          <w:iCs/>
          <w:color w:val="000000" w:themeColor="text1"/>
          <w:shd w:val="clear" w:color="auto" w:fill="FFFFFF"/>
          <w:lang w:val="en-GB"/>
        </w:rPr>
        <w:t xml:space="preserve">; </w:t>
      </w:r>
      <w:hyperlink r:id="rId9" w:history="1">
        <w:r w:rsidR="005845CB" w:rsidRPr="0073270F">
          <w:rPr>
            <w:rStyle w:val="Lienhypertexte"/>
            <w:rFonts w:cstheme="minorHAnsi"/>
            <w:i/>
            <w:iCs/>
            <w:shd w:val="clear" w:color="auto" w:fill="FFFFFF"/>
            <w:lang w:val="en-GB"/>
          </w:rPr>
          <w:t>sebastien.lecommandoux@bordeaux-inp.fr</w:t>
        </w:r>
      </w:hyperlink>
    </w:p>
    <w:p w14:paraId="77284D6C" w14:textId="77777777" w:rsidR="0028125D" w:rsidRDefault="0028125D" w:rsidP="0028125D">
      <w:pPr>
        <w:pStyle w:val="Sansinterligne"/>
        <w:spacing w:line="360" w:lineRule="auto"/>
        <w:jc w:val="both"/>
        <w:rPr>
          <w:b/>
          <w:lang w:val="en-GB"/>
        </w:rPr>
      </w:pPr>
    </w:p>
    <w:p w14:paraId="602F26B6" w14:textId="77777777" w:rsidR="00370608" w:rsidRDefault="0028125D">
      <w:pPr>
        <w:rPr>
          <w:b/>
          <w:lang w:val="en-GB"/>
        </w:rPr>
      </w:pPr>
      <w:r>
        <w:rPr>
          <w:b/>
          <w:lang w:val="en-GB"/>
        </w:rPr>
        <w:br w:type="page"/>
      </w:r>
    </w:p>
    <w:tbl>
      <w:tblPr>
        <w:tblW w:w="3960" w:type="dxa"/>
        <w:jc w:val="center"/>
        <w:tblCellMar>
          <w:left w:w="70" w:type="dxa"/>
          <w:right w:w="70" w:type="dxa"/>
        </w:tblCellMar>
        <w:tblLook w:val="04A0" w:firstRow="1" w:lastRow="0" w:firstColumn="1" w:lastColumn="0" w:noHBand="0" w:noVBand="1"/>
      </w:tblPr>
      <w:tblGrid>
        <w:gridCol w:w="1280"/>
        <w:gridCol w:w="1680"/>
        <w:gridCol w:w="1194"/>
      </w:tblGrid>
      <w:tr w:rsidR="00370608" w:rsidRPr="00370608" w14:paraId="75A6A1D7" w14:textId="77777777" w:rsidTr="00D57EDB">
        <w:trPr>
          <w:trHeight w:val="585"/>
          <w:jc w:val="center"/>
        </w:trPr>
        <w:tc>
          <w:tcPr>
            <w:tcW w:w="1280" w:type="dxa"/>
            <w:tcBorders>
              <w:top w:val="single" w:sz="4" w:space="0" w:color="auto"/>
              <w:left w:val="nil"/>
              <w:bottom w:val="nil"/>
              <w:right w:val="nil"/>
            </w:tcBorders>
            <w:shd w:val="clear" w:color="auto" w:fill="auto"/>
            <w:vAlign w:val="center"/>
            <w:hideMark/>
          </w:tcPr>
          <w:p w14:paraId="0BED0556" w14:textId="77777777" w:rsidR="00370608" w:rsidRPr="00370608" w:rsidRDefault="00370608" w:rsidP="00D57EDB">
            <w:pPr>
              <w:spacing w:after="0" w:line="240" w:lineRule="auto"/>
              <w:jc w:val="center"/>
              <w:rPr>
                <w:rFonts w:eastAsia="Times New Roman" w:cstheme="minorHAnsi"/>
                <w:b/>
                <w:bCs/>
                <w:color w:val="000000"/>
                <w:lang w:eastAsia="fr-FR"/>
              </w:rPr>
            </w:pPr>
            <w:proofErr w:type="spellStart"/>
            <w:r w:rsidRPr="00370608">
              <w:rPr>
                <w:rFonts w:eastAsia="Times New Roman" w:cstheme="minorHAnsi"/>
                <w:b/>
                <w:bCs/>
                <w:color w:val="000000"/>
                <w:lang w:eastAsia="fr-FR"/>
              </w:rPr>
              <w:lastRenderedPageBreak/>
              <w:t>CoolLED</w:t>
            </w:r>
            <w:proofErr w:type="spellEnd"/>
            <w:r w:rsidRPr="00370608">
              <w:rPr>
                <w:rFonts w:eastAsia="Times New Roman" w:cstheme="minorHAnsi"/>
                <w:b/>
                <w:bCs/>
                <w:color w:val="000000"/>
                <w:lang w:eastAsia="fr-FR"/>
              </w:rPr>
              <w:t xml:space="preserve"> % (</w:t>
            </w:r>
            <w:proofErr w:type="spellStart"/>
            <w:r w:rsidRPr="00370608">
              <w:rPr>
                <w:rFonts w:eastAsia="Times New Roman" w:cstheme="minorHAnsi"/>
                <w:b/>
                <w:bCs/>
                <w:color w:val="000000"/>
                <w:lang w:eastAsia="fr-FR"/>
              </w:rPr>
              <w:t>raw</w:t>
            </w:r>
            <w:proofErr w:type="spellEnd"/>
            <w:r w:rsidRPr="00370608">
              <w:rPr>
                <w:rFonts w:eastAsia="Times New Roman" w:cstheme="minorHAnsi"/>
                <w:b/>
                <w:bCs/>
                <w:color w:val="000000"/>
                <w:lang w:eastAsia="fr-FR"/>
              </w:rPr>
              <w:t xml:space="preserve"> setting)</w:t>
            </w:r>
          </w:p>
        </w:tc>
        <w:tc>
          <w:tcPr>
            <w:tcW w:w="1680" w:type="dxa"/>
            <w:tcBorders>
              <w:top w:val="single" w:sz="4" w:space="0" w:color="auto"/>
              <w:left w:val="nil"/>
              <w:bottom w:val="nil"/>
              <w:right w:val="nil"/>
            </w:tcBorders>
            <w:shd w:val="clear" w:color="auto" w:fill="auto"/>
            <w:vAlign w:val="center"/>
            <w:hideMark/>
          </w:tcPr>
          <w:p w14:paraId="1EF27954" w14:textId="77777777" w:rsidR="00370608" w:rsidRPr="00370608" w:rsidRDefault="00370608" w:rsidP="00D57EDB">
            <w:pPr>
              <w:spacing w:after="0" w:line="240" w:lineRule="auto"/>
              <w:jc w:val="center"/>
              <w:rPr>
                <w:rFonts w:eastAsia="Times New Roman" w:cstheme="minorHAnsi"/>
                <w:b/>
                <w:bCs/>
                <w:color w:val="000000"/>
                <w:lang w:val="en-GB" w:eastAsia="fr-FR"/>
              </w:rPr>
            </w:pPr>
            <w:proofErr w:type="spellStart"/>
            <w:r w:rsidRPr="00370608">
              <w:rPr>
                <w:rFonts w:eastAsia="Times New Roman" w:cstheme="minorHAnsi"/>
                <w:b/>
                <w:bCs/>
                <w:color w:val="000000"/>
                <w:lang w:val="en-GB" w:eastAsia="fr-FR"/>
              </w:rPr>
              <w:t>Mesured</w:t>
            </w:r>
            <w:proofErr w:type="spellEnd"/>
            <w:r w:rsidRPr="00370608">
              <w:rPr>
                <w:rFonts w:eastAsia="Times New Roman" w:cstheme="minorHAnsi"/>
                <w:b/>
                <w:bCs/>
                <w:color w:val="000000"/>
                <w:lang w:val="en-GB" w:eastAsia="fr-FR"/>
              </w:rPr>
              <w:t xml:space="preserve"> power</w:t>
            </w:r>
          </w:p>
          <w:p w14:paraId="5725511F" w14:textId="77777777" w:rsidR="00370608" w:rsidRPr="00370608" w:rsidRDefault="00370608" w:rsidP="00D57EDB">
            <w:pPr>
              <w:spacing w:after="0" w:line="240" w:lineRule="auto"/>
              <w:jc w:val="center"/>
              <w:rPr>
                <w:rFonts w:eastAsia="Times New Roman" w:cstheme="minorHAnsi"/>
                <w:b/>
                <w:bCs/>
                <w:color w:val="000000"/>
                <w:lang w:val="en-GB" w:eastAsia="fr-FR"/>
              </w:rPr>
            </w:pPr>
            <w:r w:rsidRPr="00370608">
              <w:rPr>
                <w:rFonts w:eastAsia="Times New Roman" w:cstheme="minorHAnsi"/>
                <w:b/>
                <w:bCs/>
                <w:color w:val="000000"/>
                <w:lang w:val="en-GB" w:eastAsia="fr-FR"/>
              </w:rPr>
              <w:t xml:space="preserve">(40x objective, </w:t>
            </w:r>
            <w:proofErr w:type="spellStart"/>
            <w:r w:rsidRPr="00370608">
              <w:rPr>
                <w:rFonts w:eastAsia="Times New Roman" w:cstheme="minorHAnsi"/>
                <w:b/>
                <w:bCs/>
                <w:color w:val="000000"/>
                <w:lang w:val="en-GB" w:eastAsia="fr-FR"/>
              </w:rPr>
              <w:t>mW</w:t>
            </w:r>
            <w:proofErr w:type="spellEnd"/>
            <w:r w:rsidRPr="00370608">
              <w:rPr>
                <w:rFonts w:eastAsia="Times New Roman" w:cstheme="minorHAnsi"/>
                <w:b/>
                <w:bCs/>
                <w:color w:val="000000"/>
                <w:lang w:val="en-GB" w:eastAsia="fr-FR"/>
              </w:rPr>
              <w:t>)</w:t>
            </w:r>
          </w:p>
        </w:tc>
        <w:tc>
          <w:tcPr>
            <w:tcW w:w="1000" w:type="dxa"/>
            <w:tcBorders>
              <w:top w:val="single" w:sz="4" w:space="0" w:color="auto"/>
              <w:left w:val="nil"/>
              <w:bottom w:val="nil"/>
              <w:right w:val="nil"/>
            </w:tcBorders>
            <w:shd w:val="clear" w:color="auto" w:fill="auto"/>
            <w:vAlign w:val="center"/>
            <w:hideMark/>
          </w:tcPr>
          <w:p w14:paraId="4DA608A6" w14:textId="77777777" w:rsidR="00370608" w:rsidRPr="00370608" w:rsidRDefault="00370608" w:rsidP="00D57EDB">
            <w:pPr>
              <w:spacing w:after="0" w:line="240" w:lineRule="auto"/>
              <w:jc w:val="center"/>
              <w:rPr>
                <w:rFonts w:eastAsia="Times New Roman" w:cstheme="minorHAnsi"/>
                <w:b/>
                <w:bCs/>
                <w:color w:val="000000"/>
                <w:lang w:eastAsia="fr-FR"/>
              </w:rPr>
            </w:pPr>
            <w:proofErr w:type="spellStart"/>
            <w:r w:rsidRPr="00370608">
              <w:rPr>
                <w:rFonts w:eastAsia="Times New Roman" w:cstheme="minorHAnsi"/>
                <w:b/>
                <w:bCs/>
                <w:color w:val="000000"/>
                <w:lang w:eastAsia="fr-FR"/>
              </w:rPr>
              <w:t>Normalized</w:t>
            </w:r>
            <w:proofErr w:type="spellEnd"/>
            <w:r w:rsidRPr="00370608">
              <w:rPr>
                <w:rFonts w:eastAsia="Times New Roman" w:cstheme="minorHAnsi"/>
                <w:b/>
                <w:bCs/>
                <w:color w:val="000000"/>
                <w:lang w:eastAsia="fr-FR"/>
              </w:rPr>
              <w:t xml:space="preserve"> (%)</w:t>
            </w:r>
          </w:p>
        </w:tc>
      </w:tr>
      <w:tr w:rsidR="00370608" w:rsidRPr="00370608" w14:paraId="49C50836" w14:textId="77777777" w:rsidTr="00D57EDB">
        <w:trPr>
          <w:trHeight w:val="300"/>
          <w:jc w:val="center"/>
        </w:trPr>
        <w:tc>
          <w:tcPr>
            <w:tcW w:w="1280" w:type="dxa"/>
            <w:tcBorders>
              <w:top w:val="single" w:sz="4" w:space="0" w:color="auto"/>
              <w:left w:val="nil"/>
              <w:bottom w:val="nil"/>
              <w:right w:val="nil"/>
            </w:tcBorders>
            <w:shd w:val="clear" w:color="auto" w:fill="auto"/>
            <w:noWrap/>
            <w:vAlign w:val="center"/>
            <w:hideMark/>
          </w:tcPr>
          <w:p w14:paraId="149BB7A2"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1</w:t>
            </w:r>
          </w:p>
        </w:tc>
        <w:tc>
          <w:tcPr>
            <w:tcW w:w="1680" w:type="dxa"/>
            <w:tcBorders>
              <w:top w:val="single" w:sz="4" w:space="0" w:color="auto"/>
              <w:left w:val="nil"/>
              <w:bottom w:val="nil"/>
              <w:right w:val="nil"/>
            </w:tcBorders>
            <w:shd w:val="clear" w:color="auto" w:fill="auto"/>
            <w:noWrap/>
            <w:vAlign w:val="center"/>
            <w:hideMark/>
          </w:tcPr>
          <w:p w14:paraId="34E08583"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1.5</w:t>
            </w:r>
          </w:p>
        </w:tc>
        <w:tc>
          <w:tcPr>
            <w:tcW w:w="1000" w:type="dxa"/>
            <w:tcBorders>
              <w:top w:val="single" w:sz="4" w:space="0" w:color="auto"/>
              <w:left w:val="nil"/>
              <w:bottom w:val="nil"/>
              <w:right w:val="nil"/>
            </w:tcBorders>
            <w:shd w:val="clear" w:color="auto" w:fill="auto"/>
            <w:noWrap/>
            <w:vAlign w:val="center"/>
            <w:hideMark/>
          </w:tcPr>
          <w:p w14:paraId="246ECD41"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4</w:t>
            </w:r>
          </w:p>
        </w:tc>
      </w:tr>
      <w:tr w:rsidR="00370608" w:rsidRPr="00370608" w14:paraId="7338DECF" w14:textId="77777777" w:rsidTr="00D57EDB">
        <w:trPr>
          <w:trHeight w:val="300"/>
          <w:jc w:val="center"/>
        </w:trPr>
        <w:tc>
          <w:tcPr>
            <w:tcW w:w="1280" w:type="dxa"/>
            <w:tcBorders>
              <w:top w:val="single" w:sz="4" w:space="0" w:color="auto"/>
              <w:left w:val="nil"/>
              <w:bottom w:val="nil"/>
              <w:right w:val="nil"/>
            </w:tcBorders>
            <w:shd w:val="clear" w:color="auto" w:fill="auto"/>
            <w:noWrap/>
            <w:vAlign w:val="center"/>
            <w:hideMark/>
          </w:tcPr>
          <w:p w14:paraId="26D8D20A"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2</w:t>
            </w:r>
          </w:p>
        </w:tc>
        <w:tc>
          <w:tcPr>
            <w:tcW w:w="1680" w:type="dxa"/>
            <w:tcBorders>
              <w:top w:val="single" w:sz="4" w:space="0" w:color="auto"/>
              <w:left w:val="nil"/>
              <w:bottom w:val="nil"/>
              <w:right w:val="nil"/>
            </w:tcBorders>
            <w:shd w:val="clear" w:color="auto" w:fill="auto"/>
            <w:noWrap/>
            <w:vAlign w:val="center"/>
            <w:hideMark/>
          </w:tcPr>
          <w:p w14:paraId="66FE9BFA"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2.4</w:t>
            </w:r>
          </w:p>
        </w:tc>
        <w:tc>
          <w:tcPr>
            <w:tcW w:w="1000" w:type="dxa"/>
            <w:tcBorders>
              <w:top w:val="single" w:sz="4" w:space="0" w:color="auto"/>
              <w:left w:val="nil"/>
              <w:bottom w:val="nil"/>
              <w:right w:val="nil"/>
            </w:tcBorders>
            <w:shd w:val="clear" w:color="auto" w:fill="auto"/>
            <w:noWrap/>
            <w:vAlign w:val="center"/>
            <w:hideMark/>
          </w:tcPr>
          <w:p w14:paraId="50B2B790"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5</w:t>
            </w:r>
          </w:p>
        </w:tc>
      </w:tr>
      <w:tr w:rsidR="00370608" w:rsidRPr="00370608" w14:paraId="65453F9D" w14:textId="77777777" w:rsidTr="00D57EDB">
        <w:trPr>
          <w:trHeight w:val="300"/>
          <w:jc w:val="center"/>
        </w:trPr>
        <w:tc>
          <w:tcPr>
            <w:tcW w:w="1280" w:type="dxa"/>
            <w:tcBorders>
              <w:top w:val="single" w:sz="4" w:space="0" w:color="auto"/>
              <w:left w:val="nil"/>
              <w:bottom w:val="nil"/>
              <w:right w:val="nil"/>
            </w:tcBorders>
            <w:shd w:val="clear" w:color="auto" w:fill="auto"/>
            <w:noWrap/>
            <w:vAlign w:val="center"/>
            <w:hideMark/>
          </w:tcPr>
          <w:p w14:paraId="67C8A0AF"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3</w:t>
            </w:r>
          </w:p>
        </w:tc>
        <w:tc>
          <w:tcPr>
            <w:tcW w:w="1680" w:type="dxa"/>
            <w:tcBorders>
              <w:top w:val="single" w:sz="4" w:space="0" w:color="auto"/>
              <w:left w:val="nil"/>
              <w:bottom w:val="nil"/>
              <w:right w:val="nil"/>
            </w:tcBorders>
            <w:shd w:val="clear" w:color="auto" w:fill="auto"/>
            <w:noWrap/>
            <w:vAlign w:val="center"/>
            <w:hideMark/>
          </w:tcPr>
          <w:p w14:paraId="16C95296"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3.4</w:t>
            </w:r>
          </w:p>
        </w:tc>
        <w:tc>
          <w:tcPr>
            <w:tcW w:w="1000" w:type="dxa"/>
            <w:tcBorders>
              <w:top w:val="single" w:sz="4" w:space="0" w:color="auto"/>
              <w:left w:val="nil"/>
              <w:bottom w:val="nil"/>
              <w:right w:val="nil"/>
            </w:tcBorders>
            <w:shd w:val="clear" w:color="auto" w:fill="auto"/>
            <w:noWrap/>
            <w:vAlign w:val="center"/>
            <w:hideMark/>
          </w:tcPr>
          <w:p w14:paraId="44720561"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8</w:t>
            </w:r>
          </w:p>
        </w:tc>
      </w:tr>
      <w:tr w:rsidR="00370608" w:rsidRPr="00370608" w14:paraId="0F096DDB" w14:textId="77777777" w:rsidTr="00D57EDB">
        <w:trPr>
          <w:trHeight w:val="300"/>
          <w:jc w:val="center"/>
        </w:trPr>
        <w:tc>
          <w:tcPr>
            <w:tcW w:w="1280" w:type="dxa"/>
            <w:tcBorders>
              <w:top w:val="single" w:sz="4" w:space="0" w:color="auto"/>
              <w:left w:val="nil"/>
              <w:bottom w:val="nil"/>
              <w:right w:val="nil"/>
            </w:tcBorders>
            <w:shd w:val="clear" w:color="auto" w:fill="auto"/>
            <w:noWrap/>
            <w:vAlign w:val="center"/>
            <w:hideMark/>
          </w:tcPr>
          <w:p w14:paraId="2CA66106"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4</w:t>
            </w:r>
          </w:p>
        </w:tc>
        <w:tc>
          <w:tcPr>
            <w:tcW w:w="1680" w:type="dxa"/>
            <w:tcBorders>
              <w:top w:val="single" w:sz="4" w:space="0" w:color="auto"/>
              <w:left w:val="nil"/>
              <w:bottom w:val="nil"/>
              <w:right w:val="nil"/>
            </w:tcBorders>
            <w:shd w:val="clear" w:color="auto" w:fill="auto"/>
            <w:noWrap/>
            <w:vAlign w:val="center"/>
            <w:hideMark/>
          </w:tcPr>
          <w:p w14:paraId="05E4E7BE"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3.8</w:t>
            </w:r>
          </w:p>
        </w:tc>
        <w:tc>
          <w:tcPr>
            <w:tcW w:w="1000" w:type="dxa"/>
            <w:tcBorders>
              <w:top w:val="single" w:sz="4" w:space="0" w:color="auto"/>
              <w:left w:val="nil"/>
              <w:bottom w:val="nil"/>
              <w:right w:val="nil"/>
            </w:tcBorders>
            <w:shd w:val="clear" w:color="auto" w:fill="auto"/>
            <w:noWrap/>
            <w:vAlign w:val="center"/>
            <w:hideMark/>
          </w:tcPr>
          <w:p w14:paraId="399B1F38"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9</w:t>
            </w:r>
          </w:p>
        </w:tc>
      </w:tr>
      <w:tr w:rsidR="00370608" w:rsidRPr="00370608" w14:paraId="315A81BD" w14:textId="77777777" w:rsidTr="00D57EDB">
        <w:trPr>
          <w:trHeight w:val="300"/>
          <w:jc w:val="center"/>
        </w:trPr>
        <w:tc>
          <w:tcPr>
            <w:tcW w:w="1280" w:type="dxa"/>
            <w:tcBorders>
              <w:top w:val="single" w:sz="4" w:space="0" w:color="auto"/>
              <w:left w:val="nil"/>
              <w:bottom w:val="nil"/>
              <w:right w:val="nil"/>
            </w:tcBorders>
            <w:shd w:val="clear" w:color="auto" w:fill="auto"/>
            <w:noWrap/>
            <w:vAlign w:val="center"/>
            <w:hideMark/>
          </w:tcPr>
          <w:p w14:paraId="77C81B1C"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5</w:t>
            </w:r>
          </w:p>
        </w:tc>
        <w:tc>
          <w:tcPr>
            <w:tcW w:w="1680" w:type="dxa"/>
            <w:tcBorders>
              <w:top w:val="single" w:sz="4" w:space="0" w:color="auto"/>
              <w:left w:val="nil"/>
              <w:bottom w:val="nil"/>
              <w:right w:val="nil"/>
            </w:tcBorders>
            <w:shd w:val="clear" w:color="auto" w:fill="auto"/>
            <w:noWrap/>
            <w:vAlign w:val="center"/>
            <w:hideMark/>
          </w:tcPr>
          <w:p w14:paraId="52C4F5FC"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4.6</w:t>
            </w:r>
          </w:p>
        </w:tc>
        <w:tc>
          <w:tcPr>
            <w:tcW w:w="1000" w:type="dxa"/>
            <w:tcBorders>
              <w:top w:val="single" w:sz="4" w:space="0" w:color="auto"/>
              <w:left w:val="nil"/>
              <w:bottom w:val="nil"/>
              <w:right w:val="nil"/>
            </w:tcBorders>
            <w:shd w:val="clear" w:color="auto" w:fill="auto"/>
            <w:noWrap/>
            <w:vAlign w:val="center"/>
            <w:hideMark/>
          </w:tcPr>
          <w:p w14:paraId="691DA547"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11</w:t>
            </w:r>
          </w:p>
        </w:tc>
      </w:tr>
      <w:tr w:rsidR="00370608" w:rsidRPr="00370608" w14:paraId="3D22560D" w14:textId="77777777" w:rsidTr="00D57EDB">
        <w:trPr>
          <w:trHeight w:val="300"/>
          <w:jc w:val="center"/>
        </w:trPr>
        <w:tc>
          <w:tcPr>
            <w:tcW w:w="1280" w:type="dxa"/>
            <w:tcBorders>
              <w:top w:val="single" w:sz="4" w:space="0" w:color="auto"/>
              <w:left w:val="nil"/>
              <w:bottom w:val="nil"/>
              <w:right w:val="nil"/>
            </w:tcBorders>
            <w:shd w:val="clear" w:color="auto" w:fill="auto"/>
            <w:noWrap/>
            <w:vAlign w:val="center"/>
            <w:hideMark/>
          </w:tcPr>
          <w:p w14:paraId="78300D8B"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6</w:t>
            </w:r>
          </w:p>
        </w:tc>
        <w:tc>
          <w:tcPr>
            <w:tcW w:w="1680" w:type="dxa"/>
            <w:tcBorders>
              <w:top w:val="single" w:sz="4" w:space="0" w:color="auto"/>
              <w:left w:val="nil"/>
              <w:bottom w:val="nil"/>
              <w:right w:val="nil"/>
            </w:tcBorders>
            <w:shd w:val="clear" w:color="auto" w:fill="auto"/>
            <w:noWrap/>
            <w:vAlign w:val="center"/>
            <w:hideMark/>
          </w:tcPr>
          <w:p w14:paraId="66847E30"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5.2</w:t>
            </w:r>
          </w:p>
        </w:tc>
        <w:tc>
          <w:tcPr>
            <w:tcW w:w="1000" w:type="dxa"/>
            <w:tcBorders>
              <w:top w:val="single" w:sz="4" w:space="0" w:color="auto"/>
              <w:left w:val="nil"/>
              <w:bottom w:val="nil"/>
              <w:right w:val="nil"/>
            </w:tcBorders>
            <w:shd w:val="clear" w:color="auto" w:fill="auto"/>
            <w:noWrap/>
            <w:vAlign w:val="center"/>
            <w:hideMark/>
          </w:tcPr>
          <w:p w14:paraId="03E9D879"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12</w:t>
            </w:r>
          </w:p>
        </w:tc>
      </w:tr>
      <w:tr w:rsidR="00370608" w:rsidRPr="00370608" w14:paraId="1E1DEEC1" w14:textId="77777777" w:rsidTr="00D57EDB">
        <w:trPr>
          <w:trHeight w:val="300"/>
          <w:jc w:val="center"/>
        </w:trPr>
        <w:tc>
          <w:tcPr>
            <w:tcW w:w="1280" w:type="dxa"/>
            <w:tcBorders>
              <w:top w:val="single" w:sz="4" w:space="0" w:color="auto"/>
              <w:left w:val="nil"/>
              <w:bottom w:val="nil"/>
              <w:right w:val="nil"/>
            </w:tcBorders>
            <w:shd w:val="clear" w:color="auto" w:fill="auto"/>
            <w:noWrap/>
            <w:vAlign w:val="center"/>
            <w:hideMark/>
          </w:tcPr>
          <w:p w14:paraId="694BFE1F"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7</w:t>
            </w:r>
          </w:p>
        </w:tc>
        <w:tc>
          <w:tcPr>
            <w:tcW w:w="1680" w:type="dxa"/>
            <w:tcBorders>
              <w:top w:val="single" w:sz="4" w:space="0" w:color="auto"/>
              <w:left w:val="nil"/>
              <w:bottom w:val="nil"/>
              <w:right w:val="nil"/>
            </w:tcBorders>
            <w:shd w:val="clear" w:color="auto" w:fill="auto"/>
            <w:noWrap/>
            <w:vAlign w:val="center"/>
            <w:hideMark/>
          </w:tcPr>
          <w:p w14:paraId="2360DD74"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5.7</w:t>
            </w:r>
          </w:p>
        </w:tc>
        <w:tc>
          <w:tcPr>
            <w:tcW w:w="1000" w:type="dxa"/>
            <w:tcBorders>
              <w:top w:val="single" w:sz="4" w:space="0" w:color="auto"/>
              <w:left w:val="nil"/>
              <w:bottom w:val="nil"/>
              <w:right w:val="nil"/>
            </w:tcBorders>
            <w:shd w:val="clear" w:color="auto" w:fill="auto"/>
            <w:noWrap/>
            <w:vAlign w:val="center"/>
            <w:hideMark/>
          </w:tcPr>
          <w:p w14:paraId="561C7E16"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13</w:t>
            </w:r>
          </w:p>
        </w:tc>
      </w:tr>
      <w:tr w:rsidR="00370608" w:rsidRPr="00370608" w14:paraId="20455A0F" w14:textId="77777777" w:rsidTr="00D57EDB">
        <w:trPr>
          <w:trHeight w:val="300"/>
          <w:jc w:val="center"/>
        </w:trPr>
        <w:tc>
          <w:tcPr>
            <w:tcW w:w="1280" w:type="dxa"/>
            <w:tcBorders>
              <w:top w:val="single" w:sz="4" w:space="0" w:color="auto"/>
              <w:left w:val="nil"/>
              <w:bottom w:val="nil"/>
              <w:right w:val="nil"/>
            </w:tcBorders>
            <w:shd w:val="clear" w:color="auto" w:fill="auto"/>
            <w:noWrap/>
            <w:vAlign w:val="center"/>
            <w:hideMark/>
          </w:tcPr>
          <w:p w14:paraId="7D5D3701"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8</w:t>
            </w:r>
          </w:p>
        </w:tc>
        <w:tc>
          <w:tcPr>
            <w:tcW w:w="1680" w:type="dxa"/>
            <w:tcBorders>
              <w:top w:val="single" w:sz="4" w:space="0" w:color="auto"/>
              <w:left w:val="nil"/>
              <w:bottom w:val="nil"/>
              <w:right w:val="nil"/>
            </w:tcBorders>
            <w:shd w:val="clear" w:color="auto" w:fill="auto"/>
            <w:noWrap/>
            <w:vAlign w:val="center"/>
            <w:hideMark/>
          </w:tcPr>
          <w:p w14:paraId="7C1419D8"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6.3</w:t>
            </w:r>
          </w:p>
        </w:tc>
        <w:tc>
          <w:tcPr>
            <w:tcW w:w="1000" w:type="dxa"/>
            <w:tcBorders>
              <w:top w:val="single" w:sz="4" w:space="0" w:color="auto"/>
              <w:left w:val="nil"/>
              <w:bottom w:val="nil"/>
              <w:right w:val="nil"/>
            </w:tcBorders>
            <w:shd w:val="clear" w:color="auto" w:fill="auto"/>
            <w:noWrap/>
            <w:vAlign w:val="center"/>
            <w:hideMark/>
          </w:tcPr>
          <w:p w14:paraId="2A3076AB"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14</w:t>
            </w:r>
          </w:p>
        </w:tc>
      </w:tr>
      <w:tr w:rsidR="00370608" w:rsidRPr="00370608" w14:paraId="22ACA6DE" w14:textId="77777777" w:rsidTr="00D57EDB">
        <w:trPr>
          <w:trHeight w:val="300"/>
          <w:jc w:val="center"/>
        </w:trPr>
        <w:tc>
          <w:tcPr>
            <w:tcW w:w="1280" w:type="dxa"/>
            <w:tcBorders>
              <w:top w:val="single" w:sz="4" w:space="0" w:color="auto"/>
              <w:left w:val="nil"/>
              <w:bottom w:val="nil"/>
              <w:right w:val="nil"/>
            </w:tcBorders>
            <w:shd w:val="clear" w:color="auto" w:fill="auto"/>
            <w:noWrap/>
            <w:vAlign w:val="center"/>
            <w:hideMark/>
          </w:tcPr>
          <w:p w14:paraId="1F9CC66C"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9</w:t>
            </w:r>
          </w:p>
        </w:tc>
        <w:tc>
          <w:tcPr>
            <w:tcW w:w="1680" w:type="dxa"/>
            <w:tcBorders>
              <w:top w:val="single" w:sz="4" w:space="0" w:color="auto"/>
              <w:left w:val="nil"/>
              <w:bottom w:val="nil"/>
              <w:right w:val="nil"/>
            </w:tcBorders>
            <w:shd w:val="clear" w:color="auto" w:fill="auto"/>
            <w:noWrap/>
            <w:vAlign w:val="center"/>
            <w:hideMark/>
          </w:tcPr>
          <w:p w14:paraId="5C74CFF6"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6.8</w:t>
            </w:r>
          </w:p>
        </w:tc>
        <w:tc>
          <w:tcPr>
            <w:tcW w:w="1000" w:type="dxa"/>
            <w:tcBorders>
              <w:top w:val="single" w:sz="4" w:space="0" w:color="auto"/>
              <w:left w:val="nil"/>
              <w:bottom w:val="nil"/>
              <w:right w:val="nil"/>
            </w:tcBorders>
            <w:shd w:val="clear" w:color="auto" w:fill="auto"/>
            <w:noWrap/>
            <w:vAlign w:val="center"/>
            <w:hideMark/>
          </w:tcPr>
          <w:p w14:paraId="085AE916"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16</w:t>
            </w:r>
          </w:p>
        </w:tc>
      </w:tr>
      <w:tr w:rsidR="00370608" w:rsidRPr="00370608" w14:paraId="448DC879" w14:textId="77777777" w:rsidTr="00D57EDB">
        <w:trPr>
          <w:trHeight w:val="300"/>
          <w:jc w:val="center"/>
        </w:trPr>
        <w:tc>
          <w:tcPr>
            <w:tcW w:w="1280" w:type="dxa"/>
            <w:tcBorders>
              <w:top w:val="single" w:sz="4" w:space="0" w:color="auto"/>
              <w:left w:val="nil"/>
              <w:bottom w:val="nil"/>
              <w:right w:val="nil"/>
            </w:tcBorders>
            <w:shd w:val="clear" w:color="auto" w:fill="auto"/>
            <w:noWrap/>
            <w:vAlign w:val="center"/>
            <w:hideMark/>
          </w:tcPr>
          <w:p w14:paraId="548A5D20"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10</w:t>
            </w:r>
          </w:p>
        </w:tc>
        <w:tc>
          <w:tcPr>
            <w:tcW w:w="1680" w:type="dxa"/>
            <w:tcBorders>
              <w:top w:val="single" w:sz="4" w:space="0" w:color="auto"/>
              <w:left w:val="nil"/>
              <w:bottom w:val="nil"/>
              <w:right w:val="nil"/>
            </w:tcBorders>
            <w:shd w:val="clear" w:color="auto" w:fill="auto"/>
            <w:noWrap/>
            <w:vAlign w:val="center"/>
            <w:hideMark/>
          </w:tcPr>
          <w:p w14:paraId="5B238398"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7.4</w:t>
            </w:r>
          </w:p>
        </w:tc>
        <w:tc>
          <w:tcPr>
            <w:tcW w:w="1000" w:type="dxa"/>
            <w:tcBorders>
              <w:top w:val="single" w:sz="4" w:space="0" w:color="auto"/>
              <w:left w:val="nil"/>
              <w:bottom w:val="nil"/>
              <w:right w:val="nil"/>
            </w:tcBorders>
            <w:shd w:val="clear" w:color="auto" w:fill="auto"/>
            <w:noWrap/>
            <w:vAlign w:val="center"/>
            <w:hideMark/>
          </w:tcPr>
          <w:p w14:paraId="7C7C386E"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17</w:t>
            </w:r>
          </w:p>
        </w:tc>
      </w:tr>
      <w:tr w:rsidR="00370608" w:rsidRPr="00370608" w14:paraId="2C047DA1" w14:textId="77777777" w:rsidTr="00D57EDB">
        <w:trPr>
          <w:trHeight w:val="300"/>
          <w:jc w:val="center"/>
        </w:trPr>
        <w:tc>
          <w:tcPr>
            <w:tcW w:w="1280" w:type="dxa"/>
            <w:tcBorders>
              <w:top w:val="single" w:sz="4" w:space="0" w:color="auto"/>
              <w:left w:val="nil"/>
              <w:bottom w:val="nil"/>
              <w:right w:val="nil"/>
            </w:tcBorders>
            <w:shd w:val="clear" w:color="auto" w:fill="auto"/>
            <w:noWrap/>
            <w:vAlign w:val="center"/>
            <w:hideMark/>
          </w:tcPr>
          <w:p w14:paraId="0E50B52F"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15</w:t>
            </w:r>
          </w:p>
        </w:tc>
        <w:tc>
          <w:tcPr>
            <w:tcW w:w="1680" w:type="dxa"/>
            <w:tcBorders>
              <w:top w:val="single" w:sz="4" w:space="0" w:color="auto"/>
              <w:left w:val="nil"/>
              <w:bottom w:val="nil"/>
              <w:right w:val="nil"/>
            </w:tcBorders>
            <w:shd w:val="clear" w:color="auto" w:fill="auto"/>
            <w:noWrap/>
            <w:vAlign w:val="center"/>
            <w:hideMark/>
          </w:tcPr>
          <w:p w14:paraId="49437CC7"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9.8</w:t>
            </w:r>
          </w:p>
        </w:tc>
        <w:tc>
          <w:tcPr>
            <w:tcW w:w="1000" w:type="dxa"/>
            <w:tcBorders>
              <w:top w:val="single" w:sz="4" w:space="0" w:color="auto"/>
              <w:left w:val="nil"/>
              <w:bottom w:val="nil"/>
              <w:right w:val="nil"/>
            </w:tcBorders>
            <w:shd w:val="clear" w:color="auto" w:fill="auto"/>
            <w:noWrap/>
            <w:vAlign w:val="center"/>
            <w:hideMark/>
          </w:tcPr>
          <w:p w14:paraId="3D16BAAE"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23</w:t>
            </w:r>
          </w:p>
        </w:tc>
      </w:tr>
      <w:tr w:rsidR="00370608" w:rsidRPr="00370608" w14:paraId="014E474E" w14:textId="77777777" w:rsidTr="00D57EDB">
        <w:trPr>
          <w:trHeight w:val="300"/>
          <w:jc w:val="center"/>
        </w:trPr>
        <w:tc>
          <w:tcPr>
            <w:tcW w:w="1280" w:type="dxa"/>
            <w:tcBorders>
              <w:top w:val="single" w:sz="4" w:space="0" w:color="auto"/>
              <w:left w:val="nil"/>
              <w:bottom w:val="nil"/>
              <w:right w:val="nil"/>
            </w:tcBorders>
            <w:shd w:val="clear" w:color="auto" w:fill="auto"/>
            <w:noWrap/>
            <w:vAlign w:val="center"/>
            <w:hideMark/>
          </w:tcPr>
          <w:p w14:paraId="435449DA"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20</w:t>
            </w:r>
          </w:p>
        </w:tc>
        <w:tc>
          <w:tcPr>
            <w:tcW w:w="1680" w:type="dxa"/>
            <w:tcBorders>
              <w:top w:val="single" w:sz="4" w:space="0" w:color="auto"/>
              <w:left w:val="nil"/>
              <w:bottom w:val="nil"/>
              <w:right w:val="nil"/>
            </w:tcBorders>
            <w:shd w:val="clear" w:color="auto" w:fill="auto"/>
            <w:noWrap/>
            <w:vAlign w:val="center"/>
            <w:hideMark/>
          </w:tcPr>
          <w:p w14:paraId="13A20B29"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11.9</w:t>
            </w:r>
          </w:p>
        </w:tc>
        <w:tc>
          <w:tcPr>
            <w:tcW w:w="1000" w:type="dxa"/>
            <w:tcBorders>
              <w:top w:val="single" w:sz="4" w:space="0" w:color="auto"/>
              <w:left w:val="nil"/>
              <w:bottom w:val="nil"/>
              <w:right w:val="nil"/>
            </w:tcBorders>
            <w:shd w:val="clear" w:color="auto" w:fill="auto"/>
            <w:noWrap/>
            <w:vAlign w:val="center"/>
            <w:hideMark/>
          </w:tcPr>
          <w:p w14:paraId="4A92EB00"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28</w:t>
            </w:r>
          </w:p>
        </w:tc>
      </w:tr>
      <w:tr w:rsidR="00370608" w:rsidRPr="00370608" w14:paraId="596AD1A0" w14:textId="77777777" w:rsidTr="00D57EDB">
        <w:trPr>
          <w:trHeight w:val="300"/>
          <w:jc w:val="center"/>
        </w:trPr>
        <w:tc>
          <w:tcPr>
            <w:tcW w:w="1280" w:type="dxa"/>
            <w:tcBorders>
              <w:top w:val="single" w:sz="4" w:space="0" w:color="auto"/>
              <w:left w:val="nil"/>
              <w:bottom w:val="nil"/>
              <w:right w:val="nil"/>
            </w:tcBorders>
            <w:shd w:val="clear" w:color="auto" w:fill="auto"/>
            <w:noWrap/>
            <w:vAlign w:val="center"/>
            <w:hideMark/>
          </w:tcPr>
          <w:p w14:paraId="331228D2"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30</w:t>
            </w:r>
          </w:p>
        </w:tc>
        <w:tc>
          <w:tcPr>
            <w:tcW w:w="1680" w:type="dxa"/>
            <w:tcBorders>
              <w:top w:val="single" w:sz="4" w:space="0" w:color="auto"/>
              <w:left w:val="nil"/>
              <w:bottom w:val="nil"/>
              <w:right w:val="nil"/>
            </w:tcBorders>
            <w:shd w:val="clear" w:color="auto" w:fill="auto"/>
            <w:noWrap/>
            <w:vAlign w:val="center"/>
            <w:hideMark/>
          </w:tcPr>
          <w:p w14:paraId="5AB4BD95"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15.8</w:t>
            </w:r>
          </w:p>
        </w:tc>
        <w:tc>
          <w:tcPr>
            <w:tcW w:w="1000" w:type="dxa"/>
            <w:tcBorders>
              <w:top w:val="single" w:sz="4" w:space="0" w:color="auto"/>
              <w:left w:val="nil"/>
              <w:bottom w:val="nil"/>
              <w:right w:val="nil"/>
            </w:tcBorders>
            <w:shd w:val="clear" w:color="auto" w:fill="auto"/>
            <w:noWrap/>
            <w:vAlign w:val="center"/>
            <w:hideMark/>
          </w:tcPr>
          <w:p w14:paraId="62D9D26F"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37</w:t>
            </w:r>
          </w:p>
        </w:tc>
      </w:tr>
      <w:tr w:rsidR="00370608" w:rsidRPr="00370608" w14:paraId="56A17442" w14:textId="77777777" w:rsidTr="00D57EDB">
        <w:trPr>
          <w:trHeight w:val="300"/>
          <w:jc w:val="center"/>
        </w:trPr>
        <w:tc>
          <w:tcPr>
            <w:tcW w:w="1280" w:type="dxa"/>
            <w:tcBorders>
              <w:top w:val="single" w:sz="4" w:space="0" w:color="auto"/>
              <w:left w:val="nil"/>
              <w:bottom w:val="nil"/>
              <w:right w:val="nil"/>
            </w:tcBorders>
            <w:shd w:val="clear" w:color="auto" w:fill="auto"/>
            <w:noWrap/>
            <w:vAlign w:val="center"/>
            <w:hideMark/>
          </w:tcPr>
          <w:p w14:paraId="71F8D724"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40</w:t>
            </w:r>
          </w:p>
        </w:tc>
        <w:tc>
          <w:tcPr>
            <w:tcW w:w="1680" w:type="dxa"/>
            <w:tcBorders>
              <w:top w:val="single" w:sz="4" w:space="0" w:color="auto"/>
              <w:left w:val="nil"/>
              <w:bottom w:val="nil"/>
              <w:right w:val="nil"/>
            </w:tcBorders>
            <w:shd w:val="clear" w:color="auto" w:fill="auto"/>
            <w:noWrap/>
            <w:vAlign w:val="center"/>
            <w:hideMark/>
          </w:tcPr>
          <w:p w14:paraId="72626F1E"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19.6</w:t>
            </w:r>
          </w:p>
        </w:tc>
        <w:tc>
          <w:tcPr>
            <w:tcW w:w="1000" w:type="dxa"/>
            <w:tcBorders>
              <w:top w:val="single" w:sz="4" w:space="0" w:color="auto"/>
              <w:left w:val="nil"/>
              <w:bottom w:val="nil"/>
              <w:right w:val="nil"/>
            </w:tcBorders>
            <w:shd w:val="clear" w:color="auto" w:fill="auto"/>
            <w:noWrap/>
            <w:vAlign w:val="center"/>
            <w:hideMark/>
          </w:tcPr>
          <w:p w14:paraId="454DD998"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45</w:t>
            </w:r>
          </w:p>
        </w:tc>
      </w:tr>
      <w:tr w:rsidR="00370608" w:rsidRPr="00370608" w14:paraId="62F18916" w14:textId="77777777" w:rsidTr="00D57EDB">
        <w:trPr>
          <w:trHeight w:val="300"/>
          <w:jc w:val="center"/>
        </w:trPr>
        <w:tc>
          <w:tcPr>
            <w:tcW w:w="1280" w:type="dxa"/>
            <w:tcBorders>
              <w:top w:val="single" w:sz="4" w:space="0" w:color="auto"/>
              <w:left w:val="nil"/>
              <w:bottom w:val="nil"/>
              <w:right w:val="nil"/>
            </w:tcBorders>
            <w:shd w:val="clear" w:color="auto" w:fill="auto"/>
            <w:noWrap/>
            <w:vAlign w:val="center"/>
            <w:hideMark/>
          </w:tcPr>
          <w:p w14:paraId="0AF5F23A"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50</w:t>
            </w:r>
          </w:p>
        </w:tc>
        <w:tc>
          <w:tcPr>
            <w:tcW w:w="1680" w:type="dxa"/>
            <w:tcBorders>
              <w:top w:val="single" w:sz="4" w:space="0" w:color="auto"/>
              <w:left w:val="nil"/>
              <w:bottom w:val="nil"/>
              <w:right w:val="nil"/>
            </w:tcBorders>
            <w:shd w:val="clear" w:color="auto" w:fill="auto"/>
            <w:noWrap/>
            <w:vAlign w:val="center"/>
            <w:hideMark/>
          </w:tcPr>
          <w:p w14:paraId="185A6447"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23.4</w:t>
            </w:r>
          </w:p>
        </w:tc>
        <w:tc>
          <w:tcPr>
            <w:tcW w:w="1000" w:type="dxa"/>
            <w:tcBorders>
              <w:top w:val="single" w:sz="4" w:space="0" w:color="auto"/>
              <w:left w:val="nil"/>
              <w:bottom w:val="nil"/>
              <w:right w:val="nil"/>
            </w:tcBorders>
            <w:shd w:val="clear" w:color="auto" w:fill="auto"/>
            <w:noWrap/>
            <w:vAlign w:val="center"/>
            <w:hideMark/>
          </w:tcPr>
          <w:p w14:paraId="5EC5BD06"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54</w:t>
            </w:r>
          </w:p>
        </w:tc>
      </w:tr>
      <w:tr w:rsidR="00370608" w:rsidRPr="00370608" w14:paraId="38B420B6" w14:textId="77777777" w:rsidTr="00D57EDB">
        <w:trPr>
          <w:trHeight w:val="300"/>
          <w:jc w:val="center"/>
        </w:trPr>
        <w:tc>
          <w:tcPr>
            <w:tcW w:w="1280" w:type="dxa"/>
            <w:tcBorders>
              <w:top w:val="single" w:sz="4" w:space="0" w:color="auto"/>
              <w:left w:val="nil"/>
              <w:bottom w:val="nil"/>
              <w:right w:val="nil"/>
            </w:tcBorders>
            <w:shd w:val="clear" w:color="auto" w:fill="auto"/>
            <w:noWrap/>
            <w:vAlign w:val="center"/>
            <w:hideMark/>
          </w:tcPr>
          <w:p w14:paraId="6724FF22"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60</w:t>
            </w:r>
          </w:p>
        </w:tc>
        <w:tc>
          <w:tcPr>
            <w:tcW w:w="1680" w:type="dxa"/>
            <w:tcBorders>
              <w:top w:val="single" w:sz="4" w:space="0" w:color="auto"/>
              <w:left w:val="nil"/>
              <w:bottom w:val="nil"/>
              <w:right w:val="nil"/>
            </w:tcBorders>
            <w:shd w:val="clear" w:color="auto" w:fill="auto"/>
            <w:noWrap/>
            <w:vAlign w:val="center"/>
            <w:hideMark/>
          </w:tcPr>
          <w:p w14:paraId="115CBC02"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27.1</w:t>
            </w:r>
          </w:p>
        </w:tc>
        <w:tc>
          <w:tcPr>
            <w:tcW w:w="1000" w:type="dxa"/>
            <w:tcBorders>
              <w:top w:val="single" w:sz="4" w:space="0" w:color="auto"/>
              <w:left w:val="nil"/>
              <w:bottom w:val="nil"/>
              <w:right w:val="nil"/>
            </w:tcBorders>
            <w:shd w:val="clear" w:color="auto" w:fill="auto"/>
            <w:noWrap/>
            <w:vAlign w:val="center"/>
            <w:hideMark/>
          </w:tcPr>
          <w:p w14:paraId="2DA5477C"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63</w:t>
            </w:r>
          </w:p>
        </w:tc>
      </w:tr>
      <w:tr w:rsidR="00370608" w:rsidRPr="00370608" w14:paraId="318A19E9" w14:textId="77777777" w:rsidTr="00D57EDB">
        <w:trPr>
          <w:trHeight w:val="300"/>
          <w:jc w:val="center"/>
        </w:trPr>
        <w:tc>
          <w:tcPr>
            <w:tcW w:w="1280" w:type="dxa"/>
            <w:tcBorders>
              <w:top w:val="single" w:sz="4" w:space="0" w:color="auto"/>
              <w:left w:val="nil"/>
              <w:bottom w:val="nil"/>
              <w:right w:val="nil"/>
            </w:tcBorders>
            <w:shd w:val="clear" w:color="auto" w:fill="auto"/>
            <w:noWrap/>
            <w:vAlign w:val="center"/>
            <w:hideMark/>
          </w:tcPr>
          <w:p w14:paraId="7157B696"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70</w:t>
            </w:r>
          </w:p>
        </w:tc>
        <w:tc>
          <w:tcPr>
            <w:tcW w:w="1680" w:type="dxa"/>
            <w:tcBorders>
              <w:top w:val="single" w:sz="4" w:space="0" w:color="auto"/>
              <w:left w:val="nil"/>
              <w:bottom w:val="nil"/>
              <w:right w:val="nil"/>
            </w:tcBorders>
            <w:shd w:val="clear" w:color="auto" w:fill="auto"/>
            <w:noWrap/>
            <w:vAlign w:val="center"/>
            <w:hideMark/>
          </w:tcPr>
          <w:p w14:paraId="4D049BD7"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31.1</w:t>
            </w:r>
          </w:p>
        </w:tc>
        <w:tc>
          <w:tcPr>
            <w:tcW w:w="1000" w:type="dxa"/>
            <w:tcBorders>
              <w:top w:val="single" w:sz="4" w:space="0" w:color="auto"/>
              <w:left w:val="nil"/>
              <w:bottom w:val="nil"/>
              <w:right w:val="nil"/>
            </w:tcBorders>
            <w:shd w:val="clear" w:color="auto" w:fill="auto"/>
            <w:noWrap/>
            <w:vAlign w:val="center"/>
            <w:hideMark/>
          </w:tcPr>
          <w:p w14:paraId="44DB70FB"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72</w:t>
            </w:r>
          </w:p>
        </w:tc>
      </w:tr>
      <w:tr w:rsidR="00370608" w:rsidRPr="00370608" w14:paraId="139E5B06" w14:textId="77777777" w:rsidTr="00D57EDB">
        <w:trPr>
          <w:trHeight w:val="300"/>
          <w:jc w:val="center"/>
        </w:trPr>
        <w:tc>
          <w:tcPr>
            <w:tcW w:w="1280" w:type="dxa"/>
            <w:tcBorders>
              <w:top w:val="single" w:sz="4" w:space="0" w:color="auto"/>
              <w:left w:val="nil"/>
              <w:bottom w:val="nil"/>
              <w:right w:val="nil"/>
            </w:tcBorders>
            <w:shd w:val="clear" w:color="auto" w:fill="auto"/>
            <w:noWrap/>
            <w:vAlign w:val="center"/>
            <w:hideMark/>
          </w:tcPr>
          <w:p w14:paraId="1A10D97C"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80</w:t>
            </w:r>
          </w:p>
        </w:tc>
        <w:tc>
          <w:tcPr>
            <w:tcW w:w="1680" w:type="dxa"/>
            <w:tcBorders>
              <w:top w:val="single" w:sz="4" w:space="0" w:color="auto"/>
              <w:left w:val="nil"/>
              <w:bottom w:val="nil"/>
              <w:right w:val="nil"/>
            </w:tcBorders>
            <w:shd w:val="clear" w:color="auto" w:fill="auto"/>
            <w:noWrap/>
            <w:vAlign w:val="center"/>
            <w:hideMark/>
          </w:tcPr>
          <w:p w14:paraId="13743BB9"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35.0</w:t>
            </w:r>
          </w:p>
        </w:tc>
        <w:tc>
          <w:tcPr>
            <w:tcW w:w="1000" w:type="dxa"/>
            <w:tcBorders>
              <w:top w:val="single" w:sz="4" w:space="0" w:color="auto"/>
              <w:left w:val="nil"/>
              <w:bottom w:val="nil"/>
              <w:right w:val="nil"/>
            </w:tcBorders>
            <w:shd w:val="clear" w:color="auto" w:fill="auto"/>
            <w:noWrap/>
            <w:vAlign w:val="center"/>
            <w:hideMark/>
          </w:tcPr>
          <w:p w14:paraId="6D23DB3B"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81</w:t>
            </w:r>
          </w:p>
        </w:tc>
      </w:tr>
      <w:tr w:rsidR="00370608" w:rsidRPr="00370608" w14:paraId="4A6F4894" w14:textId="77777777" w:rsidTr="00D57EDB">
        <w:trPr>
          <w:trHeight w:val="300"/>
          <w:jc w:val="center"/>
        </w:trPr>
        <w:tc>
          <w:tcPr>
            <w:tcW w:w="1280" w:type="dxa"/>
            <w:tcBorders>
              <w:top w:val="single" w:sz="4" w:space="0" w:color="auto"/>
              <w:left w:val="nil"/>
              <w:bottom w:val="nil"/>
              <w:right w:val="nil"/>
            </w:tcBorders>
            <w:shd w:val="clear" w:color="auto" w:fill="auto"/>
            <w:noWrap/>
            <w:vAlign w:val="center"/>
            <w:hideMark/>
          </w:tcPr>
          <w:p w14:paraId="3D16C0EF"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90</w:t>
            </w:r>
          </w:p>
        </w:tc>
        <w:tc>
          <w:tcPr>
            <w:tcW w:w="1680" w:type="dxa"/>
            <w:tcBorders>
              <w:top w:val="single" w:sz="4" w:space="0" w:color="auto"/>
              <w:left w:val="nil"/>
              <w:bottom w:val="nil"/>
              <w:right w:val="nil"/>
            </w:tcBorders>
            <w:shd w:val="clear" w:color="auto" w:fill="auto"/>
            <w:noWrap/>
            <w:vAlign w:val="center"/>
            <w:hideMark/>
          </w:tcPr>
          <w:p w14:paraId="2CF45CCE"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39.0</w:t>
            </w:r>
          </w:p>
        </w:tc>
        <w:tc>
          <w:tcPr>
            <w:tcW w:w="1000" w:type="dxa"/>
            <w:tcBorders>
              <w:top w:val="single" w:sz="4" w:space="0" w:color="auto"/>
              <w:left w:val="nil"/>
              <w:bottom w:val="nil"/>
              <w:right w:val="nil"/>
            </w:tcBorders>
            <w:shd w:val="clear" w:color="auto" w:fill="auto"/>
            <w:noWrap/>
            <w:vAlign w:val="center"/>
            <w:hideMark/>
          </w:tcPr>
          <w:p w14:paraId="3599055B"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90</w:t>
            </w:r>
          </w:p>
        </w:tc>
      </w:tr>
      <w:tr w:rsidR="00370608" w:rsidRPr="00370608" w14:paraId="16AEB65A" w14:textId="77777777" w:rsidTr="00D57EDB">
        <w:trPr>
          <w:trHeight w:val="300"/>
          <w:jc w:val="center"/>
        </w:trPr>
        <w:tc>
          <w:tcPr>
            <w:tcW w:w="1280" w:type="dxa"/>
            <w:tcBorders>
              <w:top w:val="single" w:sz="4" w:space="0" w:color="auto"/>
              <w:left w:val="nil"/>
              <w:bottom w:val="nil"/>
              <w:right w:val="nil"/>
            </w:tcBorders>
            <w:shd w:val="clear" w:color="auto" w:fill="auto"/>
            <w:noWrap/>
            <w:vAlign w:val="center"/>
            <w:hideMark/>
          </w:tcPr>
          <w:p w14:paraId="2A402B69"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100</w:t>
            </w:r>
          </w:p>
        </w:tc>
        <w:tc>
          <w:tcPr>
            <w:tcW w:w="1680" w:type="dxa"/>
            <w:tcBorders>
              <w:top w:val="single" w:sz="4" w:space="0" w:color="auto"/>
              <w:left w:val="nil"/>
              <w:bottom w:val="nil"/>
              <w:right w:val="nil"/>
            </w:tcBorders>
            <w:shd w:val="clear" w:color="auto" w:fill="auto"/>
            <w:noWrap/>
            <w:vAlign w:val="center"/>
            <w:hideMark/>
          </w:tcPr>
          <w:p w14:paraId="7ACE2638"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43.2</w:t>
            </w:r>
          </w:p>
        </w:tc>
        <w:tc>
          <w:tcPr>
            <w:tcW w:w="1000" w:type="dxa"/>
            <w:tcBorders>
              <w:top w:val="single" w:sz="4" w:space="0" w:color="auto"/>
              <w:left w:val="nil"/>
              <w:bottom w:val="nil"/>
              <w:right w:val="nil"/>
            </w:tcBorders>
            <w:shd w:val="clear" w:color="auto" w:fill="auto"/>
            <w:noWrap/>
            <w:vAlign w:val="center"/>
            <w:hideMark/>
          </w:tcPr>
          <w:p w14:paraId="519D32B2"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100</w:t>
            </w:r>
          </w:p>
        </w:tc>
      </w:tr>
    </w:tbl>
    <w:p w14:paraId="47964C73" w14:textId="77777777" w:rsidR="00370608" w:rsidRPr="00370608" w:rsidRDefault="00370608" w:rsidP="00370608">
      <w:pPr>
        <w:pStyle w:val="Sansinterligne"/>
        <w:jc w:val="both"/>
        <w:rPr>
          <w:rFonts w:cstheme="minorHAnsi"/>
        </w:rPr>
      </w:pPr>
    </w:p>
    <w:p w14:paraId="6BFFA2A1" w14:textId="77777777" w:rsidR="00370608" w:rsidRPr="00370608" w:rsidRDefault="00370608" w:rsidP="00370608">
      <w:pPr>
        <w:pStyle w:val="Sansinterligne"/>
        <w:spacing w:line="360" w:lineRule="auto"/>
        <w:jc w:val="both"/>
        <w:rPr>
          <w:rFonts w:cstheme="minorHAnsi"/>
          <w:b/>
          <w:lang w:val="en-GB"/>
        </w:rPr>
      </w:pPr>
      <w:r w:rsidRPr="00370608">
        <w:rPr>
          <w:rFonts w:cstheme="minorHAnsi"/>
          <w:b/>
          <w:lang w:val="en-GB"/>
        </w:rPr>
        <w:t xml:space="preserve">Supplemental Table 1. </w:t>
      </w:r>
      <w:proofErr w:type="spellStart"/>
      <w:r w:rsidRPr="00370608">
        <w:rPr>
          <w:rFonts w:cstheme="minorHAnsi"/>
          <w:b/>
          <w:lang w:val="en-GB"/>
        </w:rPr>
        <w:t>CoolLED</w:t>
      </w:r>
      <w:proofErr w:type="spellEnd"/>
      <w:r w:rsidRPr="00370608">
        <w:rPr>
          <w:rFonts w:cstheme="minorHAnsi"/>
          <w:b/>
          <w:lang w:val="en-GB"/>
        </w:rPr>
        <w:t xml:space="preserve"> power calibration at 40x objective (470 nm blue). </w:t>
      </w:r>
    </w:p>
    <w:p w14:paraId="490EE5EF" w14:textId="77777777" w:rsidR="00370608" w:rsidRPr="00370608" w:rsidRDefault="00370608" w:rsidP="00370608">
      <w:pPr>
        <w:pStyle w:val="Sansinterligne"/>
        <w:spacing w:line="360" w:lineRule="auto"/>
        <w:jc w:val="both"/>
        <w:rPr>
          <w:rFonts w:cstheme="minorHAnsi"/>
          <w:lang w:val="en-GB"/>
        </w:rPr>
      </w:pPr>
      <w:proofErr w:type="spellStart"/>
      <w:r w:rsidRPr="00370608">
        <w:rPr>
          <w:rFonts w:cstheme="minorHAnsi"/>
          <w:lang w:val="en-GB"/>
        </w:rPr>
        <w:t>CoolLED</w:t>
      </w:r>
      <w:proofErr w:type="spellEnd"/>
      <w:r w:rsidRPr="00370608">
        <w:rPr>
          <w:rFonts w:cstheme="minorHAnsi"/>
          <w:lang w:val="en-GB"/>
        </w:rPr>
        <w:t xml:space="preserve"> pE-300 irradiance measurements through 40x 0.8 NA objective on Olympus scope. Power measured at focus with Thorlabs power meter, averaged 5 s per reading. Normalized % calculated as (measured power / max power at 100%) × 100.</w:t>
      </w:r>
    </w:p>
    <w:p w14:paraId="5B97EDF2" w14:textId="77777777" w:rsidR="00370608" w:rsidRPr="00370608" w:rsidRDefault="00370608">
      <w:pPr>
        <w:rPr>
          <w:rFonts w:cstheme="minorHAnsi"/>
          <w:b/>
          <w:lang w:val="en-GB"/>
        </w:rPr>
      </w:pPr>
    </w:p>
    <w:p w14:paraId="6E903ADF" w14:textId="77777777" w:rsidR="00370608" w:rsidRPr="00370608" w:rsidRDefault="00370608">
      <w:pPr>
        <w:rPr>
          <w:rFonts w:cstheme="minorHAnsi"/>
          <w:b/>
          <w:lang w:val="en-GB"/>
        </w:rPr>
      </w:pPr>
    </w:p>
    <w:tbl>
      <w:tblPr>
        <w:tblW w:w="5845" w:type="dxa"/>
        <w:tblInd w:w="1899" w:type="dxa"/>
        <w:tblCellMar>
          <w:left w:w="70" w:type="dxa"/>
          <w:right w:w="70" w:type="dxa"/>
        </w:tblCellMar>
        <w:tblLook w:val="04A0" w:firstRow="1" w:lastRow="0" w:firstColumn="1" w:lastColumn="0" w:noHBand="0" w:noVBand="1"/>
      </w:tblPr>
      <w:tblGrid>
        <w:gridCol w:w="1843"/>
        <w:gridCol w:w="2410"/>
        <w:gridCol w:w="1592"/>
      </w:tblGrid>
      <w:tr w:rsidR="00370608" w:rsidRPr="00370608" w14:paraId="5AC050F5" w14:textId="77777777" w:rsidTr="00370608">
        <w:trPr>
          <w:trHeight w:val="558"/>
        </w:trPr>
        <w:tc>
          <w:tcPr>
            <w:tcW w:w="1843" w:type="dxa"/>
            <w:tcBorders>
              <w:top w:val="single" w:sz="4" w:space="0" w:color="auto"/>
              <w:left w:val="nil"/>
              <w:bottom w:val="nil"/>
              <w:right w:val="nil"/>
            </w:tcBorders>
            <w:shd w:val="clear" w:color="auto" w:fill="auto"/>
            <w:noWrap/>
            <w:vAlign w:val="center"/>
            <w:hideMark/>
          </w:tcPr>
          <w:p w14:paraId="2E2F74AC" w14:textId="77777777" w:rsidR="00370608" w:rsidRPr="00370608" w:rsidRDefault="00370608" w:rsidP="00D57EDB">
            <w:pPr>
              <w:spacing w:after="0" w:line="240" w:lineRule="auto"/>
              <w:jc w:val="center"/>
              <w:rPr>
                <w:rFonts w:eastAsia="Times New Roman" w:cstheme="minorHAnsi"/>
                <w:b/>
                <w:bCs/>
                <w:color w:val="000000"/>
                <w:lang w:eastAsia="fr-FR"/>
              </w:rPr>
            </w:pPr>
            <w:proofErr w:type="spellStart"/>
            <w:r w:rsidRPr="00370608">
              <w:rPr>
                <w:rFonts w:eastAsia="Times New Roman" w:cstheme="minorHAnsi"/>
                <w:b/>
                <w:bCs/>
                <w:color w:val="000000"/>
                <w:lang w:eastAsia="fr-FR"/>
              </w:rPr>
              <w:t>Fiber</w:t>
            </w:r>
            <w:proofErr w:type="spellEnd"/>
            <w:r w:rsidRPr="00370608">
              <w:rPr>
                <w:rFonts w:eastAsia="Times New Roman" w:cstheme="minorHAnsi"/>
                <w:b/>
                <w:bCs/>
                <w:color w:val="000000"/>
                <w:lang w:eastAsia="fr-FR"/>
              </w:rPr>
              <w:t xml:space="preserve"> (</w:t>
            </w:r>
            <w:proofErr w:type="spellStart"/>
            <w:r w:rsidRPr="00370608">
              <w:rPr>
                <w:rFonts w:eastAsia="Times New Roman" w:cstheme="minorHAnsi"/>
                <w:b/>
                <w:bCs/>
                <w:color w:val="000000"/>
                <w:lang w:eastAsia="fr-FR"/>
              </w:rPr>
              <w:t>raw</w:t>
            </w:r>
            <w:proofErr w:type="spellEnd"/>
            <w:r w:rsidRPr="00370608">
              <w:rPr>
                <w:rFonts w:eastAsia="Times New Roman" w:cstheme="minorHAnsi"/>
                <w:b/>
                <w:bCs/>
                <w:color w:val="000000"/>
                <w:lang w:eastAsia="fr-FR"/>
              </w:rPr>
              <w:t xml:space="preserve"> setting) </w:t>
            </w:r>
          </w:p>
          <w:p w14:paraId="6D9BC778" w14:textId="77777777" w:rsidR="00370608" w:rsidRPr="00370608" w:rsidRDefault="00370608" w:rsidP="00D57EDB">
            <w:pPr>
              <w:spacing w:after="0" w:line="240" w:lineRule="auto"/>
              <w:jc w:val="center"/>
              <w:rPr>
                <w:rFonts w:eastAsia="Times New Roman" w:cstheme="minorHAnsi"/>
                <w:b/>
                <w:bCs/>
                <w:color w:val="000000"/>
                <w:lang w:eastAsia="fr-FR"/>
              </w:rPr>
            </w:pPr>
            <w:r w:rsidRPr="00370608">
              <w:rPr>
                <w:rFonts w:eastAsia="Times New Roman" w:cstheme="minorHAnsi"/>
                <w:b/>
                <w:bCs/>
                <w:color w:val="000000"/>
                <w:lang w:eastAsia="fr-FR"/>
              </w:rPr>
              <w:t>(%)</w:t>
            </w:r>
          </w:p>
        </w:tc>
        <w:tc>
          <w:tcPr>
            <w:tcW w:w="2410" w:type="dxa"/>
            <w:tcBorders>
              <w:top w:val="single" w:sz="4" w:space="0" w:color="auto"/>
              <w:left w:val="nil"/>
              <w:bottom w:val="nil"/>
              <w:right w:val="nil"/>
            </w:tcBorders>
            <w:shd w:val="clear" w:color="auto" w:fill="auto"/>
            <w:noWrap/>
            <w:vAlign w:val="center"/>
            <w:hideMark/>
          </w:tcPr>
          <w:p w14:paraId="0C403065" w14:textId="77777777" w:rsidR="00370608" w:rsidRPr="00370608" w:rsidRDefault="00370608" w:rsidP="00D57EDB">
            <w:pPr>
              <w:spacing w:after="0" w:line="240" w:lineRule="auto"/>
              <w:jc w:val="center"/>
              <w:rPr>
                <w:rFonts w:eastAsia="Times New Roman" w:cstheme="minorHAnsi"/>
                <w:b/>
                <w:bCs/>
                <w:color w:val="000000"/>
                <w:lang w:val="en-GB" w:eastAsia="fr-FR"/>
              </w:rPr>
            </w:pPr>
            <w:r w:rsidRPr="00370608">
              <w:rPr>
                <w:rFonts w:eastAsia="Times New Roman" w:cstheme="minorHAnsi"/>
                <w:b/>
                <w:bCs/>
                <w:color w:val="000000"/>
                <w:lang w:val="en-GB" w:eastAsia="fr-FR"/>
              </w:rPr>
              <w:t>Measured power at ferrule (</w:t>
            </w:r>
            <w:proofErr w:type="spellStart"/>
            <w:r w:rsidRPr="00370608">
              <w:rPr>
                <w:rFonts w:eastAsia="Times New Roman" w:cstheme="minorHAnsi"/>
                <w:b/>
                <w:bCs/>
                <w:color w:val="000000"/>
                <w:lang w:val="en-GB" w:eastAsia="fr-FR"/>
              </w:rPr>
              <w:t>mW</w:t>
            </w:r>
            <w:proofErr w:type="spellEnd"/>
            <w:r w:rsidRPr="00370608">
              <w:rPr>
                <w:rFonts w:eastAsia="Times New Roman" w:cstheme="minorHAnsi"/>
                <w:b/>
                <w:bCs/>
                <w:color w:val="000000"/>
                <w:lang w:val="en-GB" w:eastAsia="fr-FR"/>
              </w:rPr>
              <w:t>)</w:t>
            </w:r>
          </w:p>
        </w:tc>
        <w:tc>
          <w:tcPr>
            <w:tcW w:w="1592" w:type="dxa"/>
            <w:tcBorders>
              <w:top w:val="single" w:sz="4" w:space="0" w:color="auto"/>
              <w:left w:val="nil"/>
              <w:bottom w:val="nil"/>
              <w:right w:val="nil"/>
            </w:tcBorders>
            <w:shd w:val="clear" w:color="auto" w:fill="auto"/>
            <w:noWrap/>
            <w:vAlign w:val="center"/>
            <w:hideMark/>
          </w:tcPr>
          <w:p w14:paraId="158D5874" w14:textId="77777777" w:rsidR="00370608" w:rsidRPr="00370608" w:rsidRDefault="00370608" w:rsidP="00D57EDB">
            <w:pPr>
              <w:spacing w:after="0" w:line="240" w:lineRule="auto"/>
              <w:jc w:val="center"/>
              <w:rPr>
                <w:rFonts w:eastAsia="Times New Roman" w:cstheme="minorHAnsi"/>
                <w:b/>
                <w:bCs/>
                <w:color w:val="000000"/>
                <w:lang w:eastAsia="fr-FR"/>
              </w:rPr>
            </w:pPr>
            <w:proofErr w:type="spellStart"/>
            <w:r w:rsidRPr="00370608">
              <w:rPr>
                <w:rFonts w:eastAsia="Times New Roman" w:cstheme="minorHAnsi"/>
                <w:b/>
                <w:bCs/>
                <w:color w:val="000000"/>
                <w:lang w:eastAsia="fr-FR"/>
              </w:rPr>
              <w:t>Normalized</w:t>
            </w:r>
            <w:proofErr w:type="spellEnd"/>
            <w:r w:rsidRPr="00370608">
              <w:rPr>
                <w:rFonts w:eastAsia="Times New Roman" w:cstheme="minorHAnsi"/>
                <w:b/>
                <w:bCs/>
                <w:color w:val="000000"/>
                <w:lang w:eastAsia="fr-FR"/>
              </w:rPr>
              <w:t xml:space="preserve"> </w:t>
            </w:r>
          </w:p>
          <w:p w14:paraId="6A8711BC" w14:textId="77777777" w:rsidR="00370608" w:rsidRPr="00370608" w:rsidRDefault="00370608" w:rsidP="00D57EDB">
            <w:pPr>
              <w:spacing w:after="0" w:line="240" w:lineRule="auto"/>
              <w:jc w:val="center"/>
              <w:rPr>
                <w:rFonts w:eastAsia="Times New Roman" w:cstheme="minorHAnsi"/>
                <w:b/>
                <w:bCs/>
                <w:color w:val="000000"/>
                <w:lang w:eastAsia="fr-FR"/>
              </w:rPr>
            </w:pPr>
            <w:r w:rsidRPr="00370608">
              <w:rPr>
                <w:rFonts w:eastAsia="Times New Roman" w:cstheme="minorHAnsi"/>
                <w:b/>
                <w:bCs/>
                <w:color w:val="000000"/>
                <w:lang w:eastAsia="fr-FR"/>
              </w:rPr>
              <w:t>(%)</w:t>
            </w:r>
          </w:p>
        </w:tc>
      </w:tr>
      <w:tr w:rsidR="00370608" w:rsidRPr="00370608" w14:paraId="17BFF823" w14:textId="77777777" w:rsidTr="00370608">
        <w:trPr>
          <w:trHeight w:val="300"/>
        </w:trPr>
        <w:tc>
          <w:tcPr>
            <w:tcW w:w="1843" w:type="dxa"/>
            <w:tcBorders>
              <w:top w:val="single" w:sz="4" w:space="0" w:color="auto"/>
              <w:left w:val="nil"/>
              <w:bottom w:val="nil"/>
              <w:right w:val="nil"/>
            </w:tcBorders>
            <w:shd w:val="clear" w:color="auto" w:fill="auto"/>
            <w:noWrap/>
            <w:vAlign w:val="center"/>
            <w:hideMark/>
          </w:tcPr>
          <w:p w14:paraId="1EEEA3EB"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1</w:t>
            </w:r>
          </w:p>
        </w:tc>
        <w:tc>
          <w:tcPr>
            <w:tcW w:w="2410" w:type="dxa"/>
            <w:tcBorders>
              <w:top w:val="single" w:sz="4" w:space="0" w:color="auto"/>
              <w:left w:val="nil"/>
              <w:bottom w:val="nil"/>
              <w:right w:val="nil"/>
            </w:tcBorders>
            <w:shd w:val="clear" w:color="auto" w:fill="auto"/>
            <w:noWrap/>
            <w:vAlign w:val="center"/>
            <w:hideMark/>
          </w:tcPr>
          <w:p w14:paraId="44132AD7"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0.6</w:t>
            </w:r>
          </w:p>
        </w:tc>
        <w:tc>
          <w:tcPr>
            <w:tcW w:w="1592" w:type="dxa"/>
            <w:tcBorders>
              <w:top w:val="single" w:sz="4" w:space="0" w:color="auto"/>
              <w:left w:val="nil"/>
              <w:bottom w:val="nil"/>
              <w:right w:val="nil"/>
            </w:tcBorders>
            <w:shd w:val="clear" w:color="auto" w:fill="auto"/>
            <w:noWrap/>
            <w:vAlign w:val="center"/>
            <w:hideMark/>
          </w:tcPr>
          <w:p w14:paraId="2E5F43FC"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1</w:t>
            </w:r>
          </w:p>
        </w:tc>
      </w:tr>
      <w:tr w:rsidR="00370608" w:rsidRPr="00370608" w14:paraId="10A8B8FA" w14:textId="77777777" w:rsidTr="00370608">
        <w:trPr>
          <w:trHeight w:val="300"/>
        </w:trPr>
        <w:tc>
          <w:tcPr>
            <w:tcW w:w="1843" w:type="dxa"/>
            <w:tcBorders>
              <w:top w:val="single" w:sz="4" w:space="0" w:color="auto"/>
              <w:left w:val="nil"/>
              <w:bottom w:val="nil"/>
              <w:right w:val="nil"/>
            </w:tcBorders>
            <w:shd w:val="clear" w:color="auto" w:fill="auto"/>
            <w:noWrap/>
            <w:vAlign w:val="center"/>
            <w:hideMark/>
          </w:tcPr>
          <w:p w14:paraId="3A9F052C"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2</w:t>
            </w:r>
          </w:p>
        </w:tc>
        <w:tc>
          <w:tcPr>
            <w:tcW w:w="2410" w:type="dxa"/>
            <w:tcBorders>
              <w:top w:val="single" w:sz="4" w:space="0" w:color="auto"/>
              <w:left w:val="nil"/>
              <w:bottom w:val="nil"/>
              <w:right w:val="nil"/>
            </w:tcBorders>
            <w:shd w:val="clear" w:color="auto" w:fill="auto"/>
            <w:noWrap/>
            <w:vAlign w:val="center"/>
            <w:hideMark/>
          </w:tcPr>
          <w:p w14:paraId="01963424"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2.1</w:t>
            </w:r>
          </w:p>
        </w:tc>
        <w:tc>
          <w:tcPr>
            <w:tcW w:w="1592" w:type="dxa"/>
            <w:tcBorders>
              <w:top w:val="single" w:sz="4" w:space="0" w:color="auto"/>
              <w:left w:val="nil"/>
              <w:bottom w:val="nil"/>
              <w:right w:val="nil"/>
            </w:tcBorders>
            <w:shd w:val="clear" w:color="auto" w:fill="auto"/>
            <w:noWrap/>
            <w:vAlign w:val="center"/>
            <w:hideMark/>
          </w:tcPr>
          <w:p w14:paraId="7A5B03AB"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5</w:t>
            </w:r>
          </w:p>
        </w:tc>
      </w:tr>
      <w:tr w:rsidR="00370608" w:rsidRPr="00370608" w14:paraId="08BB7003" w14:textId="77777777" w:rsidTr="00370608">
        <w:trPr>
          <w:trHeight w:val="300"/>
        </w:trPr>
        <w:tc>
          <w:tcPr>
            <w:tcW w:w="1843" w:type="dxa"/>
            <w:tcBorders>
              <w:top w:val="single" w:sz="4" w:space="0" w:color="auto"/>
              <w:left w:val="nil"/>
              <w:bottom w:val="nil"/>
              <w:right w:val="nil"/>
            </w:tcBorders>
            <w:shd w:val="clear" w:color="auto" w:fill="auto"/>
            <w:noWrap/>
            <w:vAlign w:val="center"/>
            <w:hideMark/>
          </w:tcPr>
          <w:p w14:paraId="33CD0598"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3</w:t>
            </w:r>
          </w:p>
        </w:tc>
        <w:tc>
          <w:tcPr>
            <w:tcW w:w="2410" w:type="dxa"/>
            <w:tcBorders>
              <w:top w:val="single" w:sz="4" w:space="0" w:color="auto"/>
              <w:left w:val="nil"/>
              <w:bottom w:val="nil"/>
              <w:right w:val="nil"/>
            </w:tcBorders>
            <w:shd w:val="clear" w:color="auto" w:fill="auto"/>
            <w:noWrap/>
            <w:vAlign w:val="center"/>
            <w:hideMark/>
          </w:tcPr>
          <w:p w14:paraId="5B5C6997"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3.6</w:t>
            </w:r>
          </w:p>
        </w:tc>
        <w:tc>
          <w:tcPr>
            <w:tcW w:w="1592" w:type="dxa"/>
            <w:tcBorders>
              <w:top w:val="single" w:sz="4" w:space="0" w:color="auto"/>
              <w:left w:val="nil"/>
              <w:bottom w:val="nil"/>
              <w:right w:val="nil"/>
            </w:tcBorders>
            <w:shd w:val="clear" w:color="auto" w:fill="auto"/>
            <w:noWrap/>
            <w:vAlign w:val="center"/>
            <w:hideMark/>
          </w:tcPr>
          <w:p w14:paraId="034BA9BD"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8</w:t>
            </w:r>
          </w:p>
        </w:tc>
      </w:tr>
      <w:tr w:rsidR="00370608" w:rsidRPr="00370608" w14:paraId="46D11570" w14:textId="77777777" w:rsidTr="00370608">
        <w:trPr>
          <w:trHeight w:val="300"/>
        </w:trPr>
        <w:tc>
          <w:tcPr>
            <w:tcW w:w="1843" w:type="dxa"/>
            <w:tcBorders>
              <w:top w:val="single" w:sz="4" w:space="0" w:color="auto"/>
              <w:left w:val="nil"/>
              <w:bottom w:val="nil"/>
              <w:right w:val="nil"/>
            </w:tcBorders>
            <w:shd w:val="clear" w:color="auto" w:fill="auto"/>
            <w:noWrap/>
            <w:vAlign w:val="center"/>
            <w:hideMark/>
          </w:tcPr>
          <w:p w14:paraId="19C4C6FC"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4</w:t>
            </w:r>
          </w:p>
        </w:tc>
        <w:tc>
          <w:tcPr>
            <w:tcW w:w="2410" w:type="dxa"/>
            <w:tcBorders>
              <w:top w:val="single" w:sz="4" w:space="0" w:color="auto"/>
              <w:left w:val="nil"/>
              <w:bottom w:val="nil"/>
              <w:right w:val="nil"/>
            </w:tcBorders>
            <w:shd w:val="clear" w:color="auto" w:fill="auto"/>
            <w:noWrap/>
            <w:vAlign w:val="center"/>
            <w:hideMark/>
          </w:tcPr>
          <w:p w14:paraId="2D127C3E"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8.8</w:t>
            </w:r>
          </w:p>
        </w:tc>
        <w:tc>
          <w:tcPr>
            <w:tcW w:w="1592" w:type="dxa"/>
            <w:tcBorders>
              <w:top w:val="single" w:sz="4" w:space="0" w:color="auto"/>
              <w:left w:val="nil"/>
              <w:bottom w:val="nil"/>
              <w:right w:val="nil"/>
            </w:tcBorders>
            <w:shd w:val="clear" w:color="auto" w:fill="auto"/>
            <w:noWrap/>
            <w:vAlign w:val="center"/>
            <w:hideMark/>
          </w:tcPr>
          <w:p w14:paraId="393524C9"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20</w:t>
            </w:r>
          </w:p>
        </w:tc>
      </w:tr>
      <w:tr w:rsidR="00370608" w:rsidRPr="00370608" w14:paraId="6BF67DF4" w14:textId="77777777" w:rsidTr="00370608">
        <w:trPr>
          <w:trHeight w:val="300"/>
        </w:trPr>
        <w:tc>
          <w:tcPr>
            <w:tcW w:w="1843" w:type="dxa"/>
            <w:tcBorders>
              <w:top w:val="single" w:sz="4" w:space="0" w:color="auto"/>
              <w:left w:val="nil"/>
              <w:bottom w:val="nil"/>
              <w:right w:val="nil"/>
            </w:tcBorders>
            <w:shd w:val="clear" w:color="auto" w:fill="auto"/>
            <w:noWrap/>
            <w:vAlign w:val="center"/>
            <w:hideMark/>
          </w:tcPr>
          <w:p w14:paraId="5E3046BF"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5</w:t>
            </w:r>
          </w:p>
        </w:tc>
        <w:tc>
          <w:tcPr>
            <w:tcW w:w="2410" w:type="dxa"/>
            <w:tcBorders>
              <w:top w:val="single" w:sz="4" w:space="0" w:color="auto"/>
              <w:left w:val="nil"/>
              <w:bottom w:val="nil"/>
              <w:right w:val="nil"/>
            </w:tcBorders>
            <w:shd w:val="clear" w:color="auto" w:fill="auto"/>
            <w:noWrap/>
            <w:vAlign w:val="center"/>
            <w:hideMark/>
          </w:tcPr>
          <w:p w14:paraId="7D16FE27"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19.3</w:t>
            </w:r>
          </w:p>
        </w:tc>
        <w:tc>
          <w:tcPr>
            <w:tcW w:w="1592" w:type="dxa"/>
            <w:tcBorders>
              <w:top w:val="single" w:sz="4" w:space="0" w:color="auto"/>
              <w:left w:val="nil"/>
              <w:bottom w:val="nil"/>
              <w:right w:val="nil"/>
            </w:tcBorders>
            <w:shd w:val="clear" w:color="auto" w:fill="auto"/>
            <w:noWrap/>
            <w:vAlign w:val="center"/>
            <w:hideMark/>
          </w:tcPr>
          <w:p w14:paraId="7621062A"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45</w:t>
            </w:r>
          </w:p>
        </w:tc>
      </w:tr>
      <w:tr w:rsidR="00370608" w:rsidRPr="00370608" w14:paraId="68712644" w14:textId="77777777" w:rsidTr="00370608">
        <w:trPr>
          <w:trHeight w:val="300"/>
        </w:trPr>
        <w:tc>
          <w:tcPr>
            <w:tcW w:w="1843" w:type="dxa"/>
            <w:tcBorders>
              <w:top w:val="single" w:sz="4" w:space="0" w:color="auto"/>
              <w:left w:val="nil"/>
              <w:bottom w:val="nil"/>
              <w:right w:val="nil"/>
            </w:tcBorders>
            <w:shd w:val="clear" w:color="auto" w:fill="auto"/>
            <w:noWrap/>
            <w:vAlign w:val="center"/>
            <w:hideMark/>
          </w:tcPr>
          <w:p w14:paraId="6A4AEDDA"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6</w:t>
            </w:r>
          </w:p>
        </w:tc>
        <w:tc>
          <w:tcPr>
            <w:tcW w:w="2410" w:type="dxa"/>
            <w:tcBorders>
              <w:top w:val="single" w:sz="4" w:space="0" w:color="auto"/>
              <w:left w:val="nil"/>
              <w:bottom w:val="nil"/>
              <w:right w:val="nil"/>
            </w:tcBorders>
            <w:shd w:val="clear" w:color="auto" w:fill="auto"/>
            <w:noWrap/>
            <w:vAlign w:val="center"/>
            <w:hideMark/>
          </w:tcPr>
          <w:p w14:paraId="5793B9E8"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31.5</w:t>
            </w:r>
          </w:p>
        </w:tc>
        <w:tc>
          <w:tcPr>
            <w:tcW w:w="1592" w:type="dxa"/>
            <w:tcBorders>
              <w:top w:val="single" w:sz="4" w:space="0" w:color="auto"/>
              <w:left w:val="nil"/>
              <w:bottom w:val="nil"/>
              <w:right w:val="nil"/>
            </w:tcBorders>
            <w:shd w:val="clear" w:color="auto" w:fill="auto"/>
            <w:noWrap/>
            <w:vAlign w:val="center"/>
            <w:hideMark/>
          </w:tcPr>
          <w:p w14:paraId="594FE0D5" w14:textId="77777777" w:rsidR="00370608" w:rsidRPr="00370608" w:rsidRDefault="00370608" w:rsidP="00D57EDB">
            <w:pPr>
              <w:spacing w:after="0" w:line="240" w:lineRule="auto"/>
              <w:jc w:val="center"/>
              <w:rPr>
                <w:rFonts w:eastAsia="Times New Roman" w:cstheme="minorHAnsi"/>
                <w:color w:val="000000"/>
                <w:lang w:eastAsia="fr-FR"/>
              </w:rPr>
            </w:pPr>
            <w:r w:rsidRPr="00370608">
              <w:rPr>
                <w:rFonts w:eastAsia="Times New Roman" w:cstheme="minorHAnsi"/>
                <w:color w:val="000000"/>
                <w:lang w:eastAsia="fr-FR"/>
              </w:rPr>
              <w:t>73</w:t>
            </w:r>
          </w:p>
        </w:tc>
      </w:tr>
    </w:tbl>
    <w:p w14:paraId="57D5E534" w14:textId="77777777" w:rsidR="00370608" w:rsidRPr="00370608" w:rsidRDefault="00370608" w:rsidP="00370608">
      <w:pPr>
        <w:spacing w:line="360" w:lineRule="auto"/>
        <w:jc w:val="both"/>
        <w:rPr>
          <w:rFonts w:cstheme="minorHAnsi"/>
        </w:rPr>
      </w:pPr>
    </w:p>
    <w:p w14:paraId="43C6E850" w14:textId="77777777" w:rsidR="00370608" w:rsidRPr="00370608" w:rsidRDefault="00370608" w:rsidP="00370608">
      <w:pPr>
        <w:pStyle w:val="Sansinterligne"/>
        <w:spacing w:line="360" w:lineRule="auto"/>
        <w:jc w:val="both"/>
        <w:rPr>
          <w:rFonts w:cstheme="minorHAnsi"/>
          <w:b/>
          <w:lang w:val="en-GB"/>
        </w:rPr>
      </w:pPr>
      <w:r w:rsidRPr="00370608">
        <w:rPr>
          <w:rFonts w:cstheme="minorHAnsi"/>
          <w:b/>
          <w:lang w:val="en-GB"/>
        </w:rPr>
        <w:t xml:space="preserve">Supplemental Table 2. </w:t>
      </w:r>
      <w:proofErr w:type="spellStart"/>
      <w:r w:rsidRPr="00370608">
        <w:rPr>
          <w:rFonts w:cstheme="minorHAnsi"/>
          <w:b/>
          <w:lang w:val="en-GB"/>
        </w:rPr>
        <w:t>Fiber</w:t>
      </w:r>
      <w:proofErr w:type="spellEnd"/>
      <w:r w:rsidRPr="00370608">
        <w:rPr>
          <w:rFonts w:cstheme="minorHAnsi"/>
          <w:b/>
          <w:lang w:val="en-GB"/>
        </w:rPr>
        <w:t xml:space="preserve"> optic power delivery (470 nm blue).</w:t>
      </w:r>
    </w:p>
    <w:p w14:paraId="40CB1888" w14:textId="77777777" w:rsidR="00370608" w:rsidRPr="00370608" w:rsidRDefault="00370608" w:rsidP="00370608">
      <w:pPr>
        <w:pStyle w:val="Sansinterligne"/>
        <w:spacing w:line="360" w:lineRule="auto"/>
        <w:jc w:val="both"/>
        <w:rPr>
          <w:rFonts w:cstheme="minorHAnsi"/>
          <w:lang w:val="en-GB"/>
        </w:rPr>
      </w:pPr>
      <w:r w:rsidRPr="00370608">
        <w:rPr>
          <w:rFonts w:cstheme="minorHAnsi"/>
          <w:lang w:val="en-GB"/>
        </w:rPr>
        <w:t xml:space="preserve">Power output from 400 µm core </w:t>
      </w:r>
      <w:proofErr w:type="spellStart"/>
      <w:r w:rsidRPr="00370608">
        <w:rPr>
          <w:rFonts w:cstheme="minorHAnsi"/>
          <w:lang w:val="en-GB"/>
        </w:rPr>
        <w:t>fiber</w:t>
      </w:r>
      <w:proofErr w:type="spellEnd"/>
      <w:r w:rsidRPr="00370608">
        <w:rPr>
          <w:rFonts w:cstheme="minorHAnsi"/>
          <w:lang w:val="en-GB"/>
        </w:rPr>
        <w:t xml:space="preserve"> (NA = 0.50), measured at 1.25 mm ferrule output using Thorlabs power meter. Normalized % calculated relative to maximum power at 100% setting.</w:t>
      </w:r>
    </w:p>
    <w:p w14:paraId="4A790095" w14:textId="77777777" w:rsidR="0028125D" w:rsidRPr="00370608" w:rsidRDefault="0028125D">
      <w:pPr>
        <w:rPr>
          <w:rFonts w:cstheme="minorHAnsi"/>
          <w:b/>
          <w:lang w:val="en-GB"/>
        </w:rPr>
      </w:pPr>
    </w:p>
    <w:p w14:paraId="1F18328A" w14:textId="77777777" w:rsidR="0028125D" w:rsidRDefault="0028125D" w:rsidP="0028125D">
      <w:pPr>
        <w:pStyle w:val="Sansinterligne"/>
        <w:spacing w:line="360" w:lineRule="auto"/>
        <w:jc w:val="both"/>
        <w:rPr>
          <w:b/>
          <w:lang w:val="en-GB"/>
        </w:rPr>
      </w:pPr>
      <w:r>
        <w:rPr>
          <w:b/>
          <w:noProof/>
          <w:lang w:val="en-GB"/>
        </w:rPr>
        <w:lastRenderedPageBreak/>
        <w:drawing>
          <wp:anchor distT="0" distB="0" distL="114300" distR="114300" simplePos="0" relativeHeight="251658240" behindDoc="0" locked="0" layoutInCell="1" allowOverlap="1" wp14:anchorId="4351BFFD" wp14:editId="323F1A16">
            <wp:simplePos x="0" y="0"/>
            <wp:positionH relativeFrom="column">
              <wp:posOffset>813435</wp:posOffset>
            </wp:positionH>
            <wp:positionV relativeFrom="paragraph">
              <wp:posOffset>3810</wp:posOffset>
            </wp:positionV>
            <wp:extent cx="4681220" cy="4812030"/>
            <wp:effectExtent l="0" t="0" r="5080" b="762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681220" cy="481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57ACE0" w14:textId="77777777" w:rsidR="0028125D" w:rsidRDefault="0028125D" w:rsidP="0028125D">
      <w:pPr>
        <w:pStyle w:val="Sansinterligne"/>
        <w:spacing w:line="360" w:lineRule="auto"/>
        <w:jc w:val="both"/>
        <w:rPr>
          <w:lang w:val="en-GB"/>
        </w:rPr>
      </w:pPr>
      <w:r w:rsidRPr="00C33D84">
        <w:rPr>
          <w:b/>
          <w:lang w:val="en-GB"/>
        </w:rPr>
        <w:t>Sup</w:t>
      </w:r>
      <w:r>
        <w:rPr>
          <w:b/>
          <w:lang w:val="en-GB"/>
        </w:rPr>
        <w:t>plementary</w:t>
      </w:r>
      <w:r w:rsidRPr="00C33D84">
        <w:rPr>
          <w:b/>
          <w:lang w:val="en-GB"/>
        </w:rPr>
        <w:t xml:space="preserve"> Figure 1. Principle of photosensitive polymersomes production, quantification and photostimulation.</w:t>
      </w:r>
      <w:r w:rsidRPr="00C33D84">
        <w:rPr>
          <w:lang w:val="en-GB"/>
        </w:rPr>
        <w:t xml:space="preserve"> </w:t>
      </w:r>
      <w:r w:rsidRPr="00903207">
        <w:rPr>
          <w:b/>
          <w:lang w:val="en-GB"/>
        </w:rPr>
        <w:t>a,</w:t>
      </w:r>
      <w:r w:rsidRPr="00C33D84">
        <w:rPr>
          <w:lang w:val="en-GB"/>
        </w:rPr>
        <w:t xml:space="preserve"> Chemical structures of amphiphilic block copolymer, poly(butadiene)-</w:t>
      </w:r>
      <w:r w:rsidRPr="00F87A5A">
        <w:rPr>
          <w:i/>
          <w:lang w:val="en-GB"/>
        </w:rPr>
        <w:t>b</w:t>
      </w:r>
      <w:r w:rsidRPr="00C33D84">
        <w:rPr>
          <w:lang w:val="en-GB"/>
        </w:rPr>
        <w:t>-</w:t>
      </w:r>
      <w:proofErr w:type="gramStart"/>
      <w:r w:rsidRPr="00C33D84">
        <w:rPr>
          <w:lang w:val="en-GB"/>
        </w:rPr>
        <w:t>poly(</w:t>
      </w:r>
      <w:proofErr w:type="gramEnd"/>
      <w:r w:rsidRPr="00C33D84">
        <w:rPr>
          <w:lang w:val="en-GB"/>
        </w:rPr>
        <w:t>ethylene oxide) (</w:t>
      </w:r>
      <w:proofErr w:type="spellStart"/>
      <w:r w:rsidRPr="00C33D84">
        <w:rPr>
          <w:lang w:val="en-GB"/>
        </w:rPr>
        <w:t>PBut</w:t>
      </w:r>
      <w:r w:rsidRPr="00E27E98">
        <w:rPr>
          <w:vertAlign w:val="subscript"/>
          <w:lang w:val="en-GB"/>
        </w:rPr>
        <w:t>n</w:t>
      </w:r>
      <w:proofErr w:type="spellEnd"/>
      <w:r w:rsidRPr="00C33D84">
        <w:rPr>
          <w:lang w:val="en-GB"/>
        </w:rPr>
        <w:t>-</w:t>
      </w:r>
      <w:r w:rsidRPr="00C33D84">
        <w:rPr>
          <w:i/>
          <w:lang w:val="en-GB"/>
        </w:rPr>
        <w:t>b</w:t>
      </w:r>
      <w:r w:rsidRPr="00C33D84">
        <w:rPr>
          <w:lang w:val="en-GB"/>
        </w:rPr>
        <w:t>-</w:t>
      </w:r>
      <w:proofErr w:type="spellStart"/>
      <w:r w:rsidRPr="00C33D84">
        <w:rPr>
          <w:lang w:val="en-GB"/>
        </w:rPr>
        <w:t>PEG</w:t>
      </w:r>
      <w:r w:rsidRPr="00E27E98">
        <w:rPr>
          <w:vertAlign w:val="subscript"/>
          <w:lang w:val="en-GB"/>
        </w:rPr>
        <w:t>p</w:t>
      </w:r>
      <w:proofErr w:type="spellEnd"/>
      <w:r w:rsidRPr="00C33D84">
        <w:rPr>
          <w:lang w:val="en-GB"/>
        </w:rPr>
        <w:t>) and</w:t>
      </w:r>
      <w:r w:rsidR="00AD5564">
        <w:rPr>
          <w:lang w:val="en-GB"/>
        </w:rPr>
        <w:t xml:space="preserve"> </w:t>
      </w:r>
      <w:proofErr w:type="spellStart"/>
      <w:r w:rsidRPr="00C33D84">
        <w:rPr>
          <w:lang w:val="en-GB"/>
        </w:rPr>
        <w:t>calcein</w:t>
      </w:r>
      <w:proofErr w:type="spellEnd"/>
      <w:r w:rsidRPr="00C33D84">
        <w:rPr>
          <w:lang w:val="en-GB"/>
        </w:rPr>
        <w:t xml:space="preserve">. </w:t>
      </w:r>
      <w:r w:rsidRPr="00903207">
        <w:rPr>
          <w:b/>
          <w:lang w:val="en-GB"/>
        </w:rPr>
        <w:t>b,</w:t>
      </w:r>
      <w:r w:rsidRPr="00C33D84">
        <w:rPr>
          <w:lang w:val="en-GB"/>
        </w:rPr>
        <w:t xml:space="preserve"> Schematic representation of the formation of calcein-loaded polymersomes following the emulsion-centrifugation protocol. Sucrose</w:t>
      </w:r>
      <w:r w:rsidR="00AD5564">
        <w:rPr>
          <w:lang w:val="en-GB"/>
        </w:rPr>
        <w:t>-containing water</w:t>
      </w:r>
      <w:r w:rsidRPr="00C33D84">
        <w:rPr>
          <w:lang w:val="en-GB"/>
        </w:rPr>
        <w:t xml:space="preserve"> droplets generated by emulsion and stabilized by the copolymer in toluene (A1) were deposited on a glucose</w:t>
      </w:r>
      <w:r w:rsidR="00AD5564">
        <w:rPr>
          <w:lang w:val="en-GB"/>
        </w:rPr>
        <w:t xml:space="preserve"> solution</w:t>
      </w:r>
      <w:r w:rsidRPr="00C33D84">
        <w:rPr>
          <w:lang w:val="en-GB"/>
        </w:rPr>
        <w:t xml:space="preserve">-toluene interface containing the same copolymer (A2). Upon centrifugation, the droplets crossed the interface to form polymersomes in the glucose phase, thereby enabling the encapsulation of calcein in the sucrose phase (B). </w:t>
      </w:r>
      <w:r w:rsidRPr="00903207">
        <w:rPr>
          <w:b/>
          <w:lang w:val="en-GB"/>
        </w:rPr>
        <w:t>c,</w:t>
      </w:r>
      <w:r w:rsidRPr="00C33D84">
        <w:rPr>
          <w:lang w:val="en-GB"/>
        </w:rPr>
        <w:t xml:space="preserve"> (left) Merged confocal image showing polymersomes (green) overlaid with transmission image of the counting square. Polymersomes were distributed within the grid used to quantify their concentration. (right) Schematic representation of a counting square (1 × 1 mm, subdivided into 16 sub-squares of 0.25 mm) of a Fast-Read 102 cell. Polymersomes that were entirely inside or touching the upper/right edges (solid lines) were counted; those on the lower/left edges (dotted lines) were excluded to avoid double counting. </w:t>
      </w:r>
      <w:r w:rsidRPr="00903207">
        <w:rPr>
          <w:b/>
          <w:lang w:val="en-GB"/>
        </w:rPr>
        <w:t>d,</w:t>
      </w:r>
      <w:r w:rsidRPr="00C33D84">
        <w:rPr>
          <w:lang w:val="en-GB"/>
        </w:rPr>
        <w:t xml:space="preserve"> Confocal observation of the rupture of a calcein-loaded polymersome across 1 second in the green channel and transmission channel. </w:t>
      </w:r>
      <w:r w:rsidR="00903207">
        <w:rPr>
          <w:b/>
          <w:lang w:val="en-GB"/>
        </w:rPr>
        <w:t>e,</w:t>
      </w:r>
      <w:r w:rsidRPr="00C33D84">
        <w:rPr>
          <w:lang w:val="en-GB"/>
        </w:rPr>
        <w:t xml:space="preserve"> Confocal observation of the selective rupture of calcein-loaded polymersomes (green). Regions of interest (ROIs) were defined around selected polymersomes (circles) and allow specific illumination of these polymersomes. At t = 0 s, 5 vesicles (circled) were subjected to illumination at 488 nm.</w:t>
      </w:r>
    </w:p>
    <w:p w14:paraId="048FF7ED" w14:textId="77777777" w:rsidR="0028125D" w:rsidRDefault="00D206B4" w:rsidP="0028125D">
      <w:pPr>
        <w:pStyle w:val="Sansinterligne"/>
        <w:spacing w:line="360" w:lineRule="auto"/>
        <w:jc w:val="both"/>
        <w:rPr>
          <w:lang w:val="en-GB"/>
        </w:rPr>
      </w:pPr>
      <w:r>
        <w:rPr>
          <w:noProof/>
          <w:lang w:val="en-GB"/>
        </w:rPr>
        <w:lastRenderedPageBreak/>
        <w:drawing>
          <wp:anchor distT="0" distB="0" distL="114300" distR="114300" simplePos="0" relativeHeight="251659264" behindDoc="0" locked="0" layoutInCell="1" allowOverlap="1" wp14:anchorId="39D89B47" wp14:editId="45C9D21A">
            <wp:simplePos x="0" y="0"/>
            <wp:positionH relativeFrom="column">
              <wp:posOffset>-14605</wp:posOffset>
            </wp:positionH>
            <wp:positionV relativeFrom="paragraph">
              <wp:posOffset>3810</wp:posOffset>
            </wp:positionV>
            <wp:extent cx="5999480" cy="6166485"/>
            <wp:effectExtent l="0" t="0" r="1270" b="571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99480" cy="6166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26FDF7" w14:textId="77777777" w:rsidR="0028125D" w:rsidRDefault="0028125D" w:rsidP="0028125D">
      <w:pPr>
        <w:pStyle w:val="Sansinterligne"/>
        <w:spacing w:line="360" w:lineRule="auto"/>
        <w:jc w:val="both"/>
        <w:rPr>
          <w:rFonts w:ascii="Calibri" w:hAnsi="Calibri" w:cs="Calibri"/>
          <w:lang w:val="en-GB"/>
        </w:rPr>
      </w:pPr>
      <w:r w:rsidRPr="00C33D84">
        <w:rPr>
          <w:b/>
          <w:lang w:val="en-GB"/>
        </w:rPr>
        <w:t>Supplementary</w:t>
      </w:r>
      <w:r>
        <w:rPr>
          <w:rFonts w:ascii="Calibri" w:hAnsi="Calibri" w:cs="Calibri"/>
          <w:b/>
          <w:bCs/>
          <w:lang w:val="en-GB"/>
        </w:rPr>
        <w:t xml:space="preserve"> </w:t>
      </w:r>
      <w:r w:rsidRPr="00C33D84">
        <w:rPr>
          <w:rFonts w:ascii="Calibri" w:hAnsi="Calibri" w:cs="Calibri"/>
          <w:b/>
          <w:bCs/>
          <w:lang w:val="en-GB"/>
        </w:rPr>
        <w:t xml:space="preserve">Figure </w:t>
      </w:r>
      <w:r>
        <w:rPr>
          <w:rFonts w:ascii="Calibri" w:hAnsi="Calibri" w:cs="Calibri"/>
          <w:b/>
          <w:bCs/>
          <w:lang w:val="en-GB"/>
        </w:rPr>
        <w:t>2</w:t>
      </w:r>
      <w:r w:rsidRPr="00C33D84">
        <w:rPr>
          <w:rFonts w:ascii="Calibri" w:hAnsi="Calibri" w:cs="Calibri"/>
          <w:b/>
          <w:bCs/>
          <w:lang w:val="en-GB"/>
        </w:rPr>
        <w:t>. Effect of CNQX loading on physical properties of photosensitive polymersomes</w:t>
      </w:r>
      <w:r w:rsidRPr="00903207">
        <w:rPr>
          <w:rFonts w:ascii="Calibri" w:hAnsi="Calibri" w:cs="Calibri"/>
          <w:b/>
          <w:bCs/>
          <w:lang w:val="en-GB"/>
        </w:rPr>
        <w:t>. a,</w:t>
      </w:r>
      <w:r w:rsidRPr="00C33D84">
        <w:rPr>
          <w:rFonts w:ascii="Calibri" w:hAnsi="Calibri" w:cs="Calibri"/>
          <w:lang w:val="en-GB"/>
        </w:rPr>
        <w:t xml:space="preserve"> Chemical structure of CNQX disodium salt. </w:t>
      </w:r>
      <w:r w:rsidRPr="00903207">
        <w:rPr>
          <w:rFonts w:ascii="Calibri" w:hAnsi="Calibri" w:cs="Calibri"/>
          <w:b/>
          <w:bCs/>
          <w:lang w:val="en-GB"/>
        </w:rPr>
        <w:t>b–d,</w:t>
      </w:r>
      <w:r w:rsidRPr="00C33D84">
        <w:rPr>
          <w:rFonts w:ascii="Calibri" w:hAnsi="Calibri" w:cs="Calibri"/>
          <w:bCs/>
          <w:lang w:val="en-GB"/>
        </w:rPr>
        <w:t xml:space="preserve"> </w:t>
      </w:r>
      <w:r w:rsidRPr="00C33D84">
        <w:rPr>
          <w:rFonts w:ascii="Calibri" w:hAnsi="Calibri" w:cs="Calibri"/>
          <w:lang w:val="en-GB"/>
        </w:rPr>
        <w:t xml:space="preserve">Relative frequency (%) histograms with log-normal fits for polymersome concentration (counts/µL; b); diameter (µm; c), and release time (s; d). Right: violin plots comparing polymersomes-unloaded (−) vs. CNQX-loaded (+) polymersomes. CNQX loading reduces diameter (P &lt; 0.0001), but not release time (t-test). </w:t>
      </w:r>
    </w:p>
    <w:p w14:paraId="4CE9AF6B" w14:textId="77777777" w:rsidR="0028125D" w:rsidRDefault="0028125D">
      <w:pPr>
        <w:rPr>
          <w:rFonts w:ascii="Calibri" w:hAnsi="Calibri" w:cs="Calibri"/>
          <w:lang w:val="en-GB"/>
        </w:rPr>
      </w:pPr>
      <w:r>
        <w:rPr>
          <w:rFonts w:ascii="Calibri" w:hAnsi="Calibri" w:cs="Calibri"/>
          <w:lang w:val="en-GB"/>
        </w:rPr>
        <w:br w:type="page"/>
      </w:r>
    </w:p>
    <w:p w14:paraId="3BFB68AC" w14:textId="77777777" w:rsidR="0028125D" w:rsidRDefault="0028125D" w:rsidP="00F23BA8">
      <w:pPr>
        <w:pStyle w:val="Sansinterligne"/>
        <w:spacing w:line="360" w:lineRule="auto"/>
        <w:jc w:val="center"/>
        <w:rPr>
          <w:rFonts w:ascii="Calibri" w:hAnsi="Calibri" w:cs="Calibri"/>
          <w:lang w:val="en-GB"/>
        </w:rPr>
      </w:pPr>
      <w:r>
        <w:rPr>
          <w:rFonts w:ascii="Calibri" w:hAnsi="Calibri" w:cs="Calibri"/>
          <w:noProof/>
          <w:lang w:val="en-GB"/>
        </w:rPr>
        <w:lastRenderedPageBreak/>
        <w:drawing>
          <wp:inline distT="0" distB="0" distL="0" distR="0" wp14:anchorId="6A8E0B15" wp14:editId="664C0416">
            <wp:extent cx="5535527" cy="5689600"/>
            <wp:effectExtent l="0" t="0" r="825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535527" cy="5689600"/>
                    </a:xfrm>
                    <a:prstGeom prst="rect">
                      <a:avLst/>
                    </a:prstGeom>
                    <a:noFill/>
                    <a:ln>
                      <a:noFill/>
                    </a:ln>
                  </pic:spPr>
                </pic:pic>
              </a:graphicData>
            </a:graphic>
          </wp:inline>
        </w:drawing>
      </w:r>
    </w:p>
    <w:p w14:paraId="36EB6F4B" w14:textId="77777777" w:rsidR="0028125D" w:rsidRDefault="0028125D" w:rsidP="0028125D">
      <w:pPr>
        <w:pStyle w:val="Sansinterligne"/>
        <w:spacing w:line="360" w:lineRule="auto"/>
        <w:jc w:val="both"/>
        <w:rPr>
          <w:rFonts w:ascii="Calibri" w:hAnsi="Calibri" w:cs="Calibri"/>
          <w:lang w:val="en-GB"/>
        </w:rPr>
      </w:pPr>
    </w:p>
    <w:p w14:paraId="01195DCD" w14:textId="4EA51935" w:rsidR="0028125D" w:rsidRPr="00795266" w:rsidRDefault="0028125D" w:rsidP="0028125D">
      <w:pPr>
        <w:pStyle w:val="Sansinterligne"/>
        <w:spacing w:line="360" w:lineRule="auto"/>
        <w:jc w:val="both"/>
        <w:rPr>
          <w:rFonts w:ascii="Calibri" w:hAnsi="Calibri" w:cs="Calibri"/>
          <w:bCs/>
          <w:lang w:val="en-GB"/>
        </w:rPr>
      </w:pPr>
      <w:r w:rsidRPr="00C33D84">
        <w:rPr>
          <w:b/>
          <w:lang w:val="en-GB"/>
        </w:rPr>
        <w:t>Supplementary</w:t>
      </w:r>
      <w:r w:rsidRPr="00C33D84">
        <w:rPr>
          <w:rFonts w:ascii="Calibri" w:hAnsi="Calibri" w:cs="Calibri"/>
          <w:b/>
          <w:bCs/>
          <w:lang w:val="en-GB"/>
        </w:rPr>
        <w:t xml:space="preserve"> Figure </w:t>
      </w:r>
      <w:r>
        <w:rPr>
          <w:rFonts w:ascii="Calibri" w:hAnsi="Calibri" w:cs="Calibri"/>
          <w:b/>
          <w:bCs/>
          <w:lang w:val="en-GB"/>
        </w:rPr>
        <w:t>3</w:t>
      </w:r>
      <w:r w:rsidRPr="00C33D84">
        <w:rPr>
          <w:rFonts w:ascii="Calibri" w:hAnsi="Calibri" w:cs="Calibri"/>
          <w:b/>
          <w:bCs/>
          <w:lang w:val="en-GB"/>
        </w:rPr>
        <w:t>. Photoactivation of CNQX-loaded polymersomes reduces CA3</w:t>
      </w:r>
      <w:r w:rsidR="0060188C">
        <w:rPr>
          <w:rFonts w:ascii="Calibri" w:hAnsi="Calibri" w:cs="Calibri"/>
          <w:b/>
          <w:bCs/>
          <w:lang w:val="en-GB"/>
        </w:rPr>
        <w:t>-</w:t>
      </w:r>
      <w:r w:rsidRPr="00C33D84">
        <w:rPr>
          <w:rFonts w:ascii="Calibri" w:hAnsi="Calibri" w:cs="Calibri"/>
          <w:b/>
          <w:bCs/>
          <w:lang w:val="en-GB"/>
        </w:rPr>
        <w:t>CA1 synaptic transmission</w:t>
      </w:r>
      <w:r>
        <w:rPr>
          <w:rFonts w:ascii="Calibri" w:hAnsi="Calibri" w:cs="Calibri"/>
          <w:b/>
          <w:bCs/>
          <w:lang w:val="en-GB"/>
        </w:rPr>
        <w:t>.</w:t>
      </w:r>
      <w:r w:rsidRPr="00C33D84">
        <w:rPr>
          <w:rFonts w:ascii="Calibri" w:hAnsi="Calibri" w:cs="Calibri"/>
          <w:lang w:val="en-GB"/>
        </w:rPr>
        <w:t xml:space="preserve"> </w:t>
      </w:r>
      <w:r w:rsidRPr="004D54A6">
        <w:rPr>
          <w:rFonts w:ascii="Calibri" w:hAnsi="Calibri" w:cs="Calibri"/>
          <w:b/>
          <w:bCs/>
          <w:lang w:val="en-GB"/>
        </w:rPr>
        <w:t>a</w:t>
      </w:r>
      <w:r w:rsidRPr="004D54A6">
        <w:rPr>
          <w:rFonts w:ascii="Calibri" w:hAnsi="Calibri" w:cs="Calibri"/>
          <w:b/>
          <w:lang w:val="en-GB"/>
        </w:rPr>
        <w:t>,</w:t>
      </w:r>
      <w:r w:rsidRPr="00C33D84">
        <w:rPr>
          <w:rFonts w:ascii="Calibri" w:hAnsi="Calibri" w:cs="Calibri"/>
          <w:lang w:val="en-GB"/>
        </w:rPr>
        <w:t xml:space="preserve"> Experimental setup (left, photography). Stimulation of CA3-CA1 connexion were elicited with electrical stimulating electrode, while fEPSP recording were made in CA1, with polymersomes injection close to recording pipette. </w:t>
      </w:r>
      <w:r w:rsidR="00FE360A" w:rsidRPr="004D54A6">
        <w:rPr>
          <w:rFonts w:ascii="Calibri" w:hAnsi="Calibri" w:cs="Calibri"/>
          <w:b/>
          <w:bCs/>
          <w:lang w:val="en-GB"/>
        </w:rPr>
        <w:t>b,</w:t>
      </w:r>
      <w:r w:rsidR="00FE360A">
        <w:rPr>
          <w:rFonts w:ascii="Calibri" w:hAnsi="Calibri" w:cs="Calibri"/>
          <w:bCs/>
          <w:lang w:val="en-GB"/>
        </w:rPr>
        <w:t xml:space="preserve"> </w:t>
      </w:r>
      <w:r w:rsidR="00FE360A" w:rsidRPr="00FE360A">
        <w:rPr>
          <w:rFonts w:ascii="Calibri" w:hAnsi="Calibri" w:cs="Calibri"/>
          <w:bCs/>
          <w:lang w:val="en-GB"/>
        </w:rPr>
        <w:t>Inhibition of response (%) as a function of normalized LED signal intensity (%) with an adjusted sigmoid curve (4PL) (IC₅₀ = 12.73% LED; Hill slope = 31.84). R² = 0.52.</w:t>
      </w:r>
      <w:r w:rsidR="00795266">
        <w:rPr>
          <w:rFonts w:ascii="Calibri" w:hAnsi="Calibri" w:cs="Calibri"/>
          <w:bCs/>
          <w:lang w:val="en-GB"/>
        </w:rPr>
        <w:t xml:space="preserve"> </w:t>
      </w:r>
      <w:r w:rsidR="00795266" w:rsidRPr="004D54A6">
        <w:rPr>
          <w:rFonts w:ascii="Calibri" w:hAnsi="Calibri" w:cs="Calibri"/>
          <w:b/>
          <w:bCs/>
          <w:lang w:val="en-GB"/>
        </w:rPr>
        <w:t>c</w:t>
      </w:r>
      <w:r w:rsidRPr="004D54A6">
        <w:rPr>
          <w:rFonts w:ascii="Calibri" w:hAnsi="Calibri" w:cs="Calibri"/>
          <w:b/>
          <w:bCs/>
          <w:lang w:val="en-GB"/>
        </w:rPr>
        <w:t>–e,</w:t>
      </w:r>
      <w:r w:rsidRPr="00C33D84">
        <w:rPr>
          <w:rFonts w:ascii="Calibri" w:hAnsi="Calibri" w:cs="Calibri"/>
          <w:lang w:val="en-GB"/>
        </w:rPr>
        <w:t xml:space="preserve"> fEPSP peak area (</w:t>
      </w:r>
      <w:proofErr w:type="spellStart"/>
      <w:r w:rsidRPr="00C33D84">
        <w:rPr>
          <w:rFonts w:ascii="Calibri" w:hAnsi="Calibri" w:cs="Calibri"/>
          <w:lang w:val="en-GB"/>
        </w:rPr>
        <w:t>mV·ms</w:t>
      </w:r>
      <w:proofErr w:type="spellEnd"/>
      <w:r w:rsidRPr="00C33D84">
        <w:rPr>
          <w:rFonts w:ascii="Calibri" w:hAnsi="Calibri" w:cs="Calibri"/>
          <w:lang w:val="en-GB"/>
        </w:rPr>
        <w:t xml:space="preserve">; baseline vs. post-manipulation). </w:t>
      </w:r>
      <w:r w:rsidR="00F422D7">
        <w:rPr>
          <w:rFonts w:ascii="Calibri" w:hAnsi="Calibri" w:cs="Calibri"/>
          <w:lang w:val="en-GB"/>
        </w:rPr>
        <w:t>Individual responses of field recording to I</w:t>
      </w:r>
      <w:r w:rsidRPr="00C33D84">
        <w:rPr>
          <w:rFonts w:ascii="Calibri" w:hAnsi="Calibri" w:cs="Calibri"/>
          <w:lang w:val="en-GB"/>
        </w:rPr>
        <w:t>llumination alone</w:t>
      </w:r>
      <w:r w:rsidR="00795266">
        <w:rPr>
          <w:rFonts w:ascii="Calibri" w:hAnsi="Calibri" w:cs="Calibri"/>
          <w:lang w:val="en-GB"/>
        </w:rPr>
        <w:t xml:space="preserve"> (8% or 12%) </w:t>
      </w:r>
      <w:r w:rsidRPr="00C33D84">
        <w:rPr>
          <w:rFonts w:ascii="Calibri" w:hAnsi="Calibri" w:cs="Calibri"/>
          <w:lang w:val="en-GB"/>
        </w:rPr>
        <w:t>(</w:t>
      </w:r>
      <w:r w:rsidR="00074754">
        <w:rPr>
          <w:rFonts w:ascii="Calibri" w:hAnsi="Calibri" w:cs="Calibri"/>
          <w:lang w:val="en-GB"/>
        </w:rPr>
        <w:t>c</w:t>
      </w:r>
      <w:r w:rsidRPr="00C33D84">
        <w:rPr>
          <w:rFonts w:ascii="Calibri" w:hAnsi="Calibri" w:cs="Calibri"/>
          <w:lang w:val="en-GB"/>
        </w:rPr>
        <w:t>)</w:t>
      </w:r>
      <w:r w:rsidR="00F422D7">
        <w:rPr>
          <w:rFonts w:ascii="Calibri" w:hAnsi="Calibri" w:cs="Calibri"/>
          <w:lang w:val="en-GB"/>
        </w:rPr>
        <w:t>,</w:t>
      </w:r>
      <w:r w:rsidRPr="00C33D84">
        <w:rPr>
          <w:rFonts w:ascii="Calibri" w:hAnsi="Calibri" w:cs="Calibri"/>
          <w:lang w:val="en-GB"/>
        </w:rPr>
        <w:t xml:space="preserve"> injection alone (</w:t>
      </w:r>
      <w:r w:rsidR="00074754">
        <w:rPr>
          <w:rFonts w:ascii="Calibri" w:hAnsi="Calibri" w:cs="Calibri"/>
          <w:lang w:val="en-GB"/>
        </w:rPr>
        <w:t>d</w:t>
      </w:r>
      <w:r w:rsidRPr="00C33D84">
        <w:rPr>
          <w:rFonts w:ascii="Calibri" w:hAnsi="Calibri" w:cs="Calibri"/>
          <w:lang w:val="en-GB"/>
        </w:rPr>
        <w:t>)</w:t>
      </w:r>
      <w:r w:rsidR="00F422D7">
        <w:rPr>
          <w:rFonts w:ascii="Calibri" w:hAnsi="Calibri" w:cs="Calibri"/>
          <w:lang w:val="en-GB"/>
        </w:rPr>
        <w:t>,</w:t>
      </w:r>
      <w:r w:rsidRPr="00C33D84">
        <w:rPr>
          <w:rFonts w:ascii="Calibri" w:hAnsi="Calibri" w:cs="Calibri"/>
          <w:lang w:val="en-GB"/>
        </w:rPr>
        <w:t xml:space="preserve"> </w:t>
      </w:r>
      <w:r w:rsidR="00F422D7">
        <w:rPr>
          <w:rFonts w:ascii="Calibri" w:hAnsi="Calibri" w:cs="Calibri"/>
          <w:lang w:val="en-GB"/>
        </w:rPr>
        <w:t>p</w:t>
      </w:r>
      <w:r w:rsidR="00074754" w:rsidRPr="00074754">
        <w:rPr>
          <w:rFonts w:ascii="Calibri" w:hAnsi="Calibri" w:cs="Calibri"/>
          <w:lang w:val="en-GB"/>
        </w:rPr>
        <w:t xml:space="preserve">hotostimulation of </w:t>
      </w:r>
      <w:proofErr w:type="spellStart"/>
      <w:r w:rsidR="00F422D7">
        <w:rPr>
          <w:rFonts w:ascii="Calibri" w:hAnsi="Calibri" w:cs="Calibri"/>
          <w:lang w:val="en-GB"/>
        </w:rPr>
        <w:t>calcein</w:t>
      </w:r>
      <w:proofErr w:type="spellEnd"/>
      <w:r w:rsidR="00F422D7">
        <w:rPr>
          <w:rFonts w:ascii="Calibri" w:hAnsi="Calibri" w:cs="Calibri"/>
          <w:lang w:val="en-GB"/>
        </w:rPr>
        <w:t xml:space="preserve">/CNQX-loaded </w:t>
      </w:r>
      <w:r w:rsidR="00074754" w:rsidRPr="00074754">
        <w:rPr>
          <w:rFonts w:ascii="Calibri" w:hAnsi="Calibri" w:cs="Calibri"/>
          <w:lang w:val="en-GB"/>
        </w:rPr>
        <w:t xml:space="preserve">polymersomes </w:t>
      </w:r>
      <w:r w:rsidR="00074754">
        <w:rPr>
          <w:rFonts w:ascii="Calibri" w:hAnsi="Calibri" w:cs="Calibri"/>
          <w:lang w:val="en-GB"/>
        </w:rPr>
        <w:t>(e)</w:t>
      </w:r>
      <w:r w:rsidR="00F422D7">
        <w:rPr>
          <w:rFonts w:ascii="Calibri" w:hAnsi="Calibri" w:cs="Calibri"/>
          <w:lang w:val="en-GB"/>
        </w:rPr>
        <w:t>, or photostimulation of calcein-loaded</w:t>
      </w:r>
      <w:bookmarkStart w:id="0" w:name="_GoBack"/>
      <w:bookmarkEnd w:id="0"/>
      <w:r w:rsidR="00074754">
        <w:rPr>
          <w:rFonts w:ascii="Calibri" w:hAnsi="Calibri" w:cs="Calibri"/>
          <w:lang w:val="en-GB"/>
        </w:rPr>
        <w:t xml:space="preserve"> polymersomes (f).</w:t>
      </w:r>
      <w:r w:rsidRPr="00C33D84">
        <w:rPr>
          <w:rFonts w:ascii="Calibri" w:hAnsi="Calibri" w:cs="Calibri"/>
          <w:lang w:val="en-GB"/>
        </w:rPr>
        <w:t xml:space="preserve"> </w:t>
      </w:r>
      <w:r w:rsidRPr="008E43A4">
        <w:rPr>
          <w:rFonts w:ascii="Calibri" w:hAnsi="Calibri" w:cs="Calibri"/>
          <w:lang w:val="en-GB"/>
        </w:rPr>
        <w:t>Dots represent individual trials, paired t-test.</w:t>
      </w:r>
    </w:p>
    <w:p w14:paraId="453034E0" w14:textId="77777777" w:rsidR="0028125D" w:rsidRDefault="0028125D">
      <w:pPr>
        <w:rPr>
          <w:rFonts w:ascii="Calibri" w:hAnsi="Calibri" w:cs="Calibri"/>
          <w:lang w:val="en-GB"/>
        </w:rPr>
      </w:pPr>
      <w:r>
        <w:rPr>
          <w:rFonts w:ascii="Calibri" w:hAnsi="Calibri" w:cs="Calibri"/>
          <w:lang w:val="en-GB"/>
        </w:rPr>
        <w:br w:type="page"/>
      </w:r>
    </w:p>
    <w:p w14:paraId="65694014" w14:textId="77777777" w:rsidR="0028125D" w:rsidRPr="008E43A4" w:rsidRDefault="0028125D" w:rsidP="00F23BA8">
      <w:pPr>
        <w:pStyle w:val="Sansinterligne"/>
        <w:spacing w:line="360" w:lineRule="auto"/>
        <w:jc w:val="center"/>
        <w:rPr>
          <w:rFonts w:ascii="Calibri" w:hAnsi="Calibri" w:cs="Calibri"/>
          <w:lang w:val="en-GB"/>
        </w:rPr>
      </w:pPr>
      <w:r>
        <w:rPr>
          <w:rFonts w:ascii="Calibri" w:hAnsi="Calibri" w:cs="Calibri"/>
          <w:noProof/>
          <w:lang w:val="en-GB"/>
        </w:rPr>
        <w:lastRenderedPageBreak/>
        <w:drawing>
          <wp:inline distT="0" distB="0" distL="0" distR="0" wp14:anchorId="0D45A992" wp14:editId="4486F6E4">
            <wp:extent cx="5535527" cy="5689600"/>
            <wp:effectExtent l="0" t="0" r="825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535527" cy="5689600"/>
                    </a:xfrm>
                    <a:prstGeom prst="rect">
                      <a:avLst/>
                    </a:prstGeom>
                    <a:noFill/>
                    <a:ln>
                      <a:noFill/>
                    </a:ln>
                  </pic:spPr>
                </pic:pic>
              </a:graphicData>
            </a:graphic>
          </wp:inline>
        </w:drawing>
      </w:r>
    </w:p>
    <w:p w14:paraId="11CC283E" w14:textId="77777777" w:rsidR="0028125D" w:rsidRPr="00C33D84" w:rsidRDefault="0028125D" w:rsidP="0028125D">
      <w:pPr>
        <w:pStyle w:val="Sansinterligne"/>
        <w:spacing w:line="360" w:lineRule="auto"/>
        <w:jc w:val="both"/>
        <w:rPr>
          <w:rFonts w:ascii="Calibri" w:hAnsi="Calibri" w:cs="Calibri"/>
          <w:lang w:val="en-GB"/>
        </w:rPr>
      </w:pPr>
      <w:r w:rsidRPr="00C33D84">
        <w:rPr>
          <w:b/>
          <w:lang w:val="en-GB"/>
        </w:rPr>
        <w:t>Supplementary</w:t>
      </w:r>
      <w:r w:rsidRPr="00C33D84">
        <w:rPr>
          <w:rFonts w:ascii="Calibri" w:hAnsi="Calibri" w:cs="Calibri"/>
          <w:b/>
          <w:lang w:val="en-GB"/>
        </w:rPr>
        <w:t xml:space="preserve"> Figure </w:t>
      </w:r>
      <w:r>
        <w:rPr>
          <w:rFonts w:ascii="Calibri" w:hAnsi="Calibri" w:cs="Calibri"/>
          <w:b/>
          <w:lang w:val="en-GB"/>
        </w:rPr>
        <w:t>4</w:t>
      </w:r>
      <w:r w:rsidRPr="00C33D84">
        <w:rPr>
          <w:rFonts w:ascii="Calibri" w:hAnsi="Calibri" w:cs="Calibri"/>
          <w:b/>
          <w:lang w:val="en-GB"/>
        </w:rPr>
        <w:t>. Efficacy and spatial specificity of controlled-release of CNQX in hippocampal slices</w:t>
      </w:r>
      <w:r w:rsidRPr="00C33D84">
        <w:rPr>
          <w:rFonts w:ascii="Calibri" w:hAnsi="Calibri" w:cs="Calibri"/>
          <w:lang w:val="en-GB"/>
        </w:rPr>
        <w:t xml:space="preserve">. </w:t>
      </w:r>
      <w:r w:rsidRPr="004D54A6">
        <w:rPr>
          <w:rFonts w:ascii="Calibri" w:hAnsi="Calibri" w:cs="Calibri"/>
          <w:b/>
          <w:lang w:val="en-GB"/>
        </w:rPr>
        <w:t xml:space="preserve">a, </w:t>
      </w:r>
      <w:r w:rsidRPr="00C33D84">
        <w:rPr>
          <w:rFonts w:ascii="Calibri" w:hAnsi="Calibri" w:cs="Calibri"/>
          <w:lang w:val="en-GB"/>
        </w:rPr>
        <w:t>Time course of fEPSP inhibition with increasing CNQX concentrations (0.5–10 µM). b</w:t>
      </w:r>
      <w:r>
        <w:rPr>
          <w:rFonts w:ascii="Calibri" w:hAnsi="Calibri" w:cs="Calibri"/>
          <w:lang w:val="en-GB"/>
        </w:rPr>
        <w:t>,</w:t>
      </w:r>
      <w:r w:rsidRPr="00C33D84">
        <w:rPr>
          <w:rFonts w:ascii="Calibri" w:hAnsi="Calibri" w:cs="Calibri"/>
          <w:lang w:val="en-GB"/>
        </w:rPr>
        <w:t xml:space="preserve"> [CNQX]–inhibition relationship (with fit and confidence band).</w:t>
      </w:r>
      <w:r w:rsidRPr="004D54A6">
        <w:rPr>
          <w:rFonts w:ascii="Calibri" w:hAnsi="Calibri" w:cs="Calibri"/>
          <w:b/>
          <w:lang w:val="en-GB"/>
        </w:rPr>
        <w:t xml:space="preserve"> c–e, </w:t>
      </w:r>
      <w:r w:rsidRPr="00C33D84">
        <w:rPr>
          <w:rFonts w:ascii="Calibri" w:hAnsi="Calibri" w:cs="Calibri"/>
          <w:lang w:val="en-GB"/>
        </w:rPr>
        <w:t>slice images (left) indicating the distance between the injection site and recording location (d_2=130 µm, d_3=250 µm, d_4=730 µm) with paired fEPSP peak area (</w:t>
      </w:r>
      <w:proofErr w:type="spellStart"/>
      <w:r w:rsidRPr="00C33D84">
        <w:rPr>
          <w:rFonts w:ascii="Calibri" w:hAnsi="Calibri" w:cs="Calibri"/>
          <w:lang w:val="en-GB"/>
        </w:rPr>
        <w:t>mV·ms</w:t>
      </w:r>
      <w:proofErr w:type="spellEnd"/>
      <w:r w:rsidRPr="00C33D84">
        <w:rPr>
          <w:rFonts w:ascii="Calibri" w:hAnsi="Calibri" w:cs="Calibri"/>
          <w:lang w:val="en-GB"/>
        </w:rPr>
        <w:t>) measurements at baseline (Base) and after manipulation (Post); P values are shown for each condition.</w:t>
      </w:r>
    </w:p>
    <w:p w14:paraId="6030985B" w14:textId="77777777" w:rsidR="0067579C" w:rsidRPr="00D206B4" w:rsidRDefault="0067579C">
      <w:pPr>
        <w:rPr>
          <w:lang w:val="en-US"/>
        </w:rPr>
      </w:pPr>
    </w:p>
    <w:sectPr w:rsidR="0067579C" w:rsidRPr="00D206B4" w:rsidSect="0028125D">
      <w:footerReference w:type="default" r:id="rId14"/>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DEF38" w14:textId="77777777" w:rsidR="00747866" w:rsidRDefault="00747866" w:rsidP="005F6E2F">
      <w:pPr>
        <w:spacing w:after="0" w:line="240" w:lineRule="auto"/>
      </w:pPr>
      <w:r>
        <w:separator/>
      </w:r>
    </w:p>
  </w:endnote>
  <w:endnote w:type="continuationSeparator" w:id="0">
    <w:p w14:paraId="68315278" w14:textId="77777777" w:rsidR="00747866" w:rsidRDefault="00747866" w:rsidP="005F6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6875831"/>
      <w:docPartObj>
        <w:docPartGallery w:val="Page Numbers (Bottom of Page)"/>
        <w:docPartUnique/>
      </w:docPartObj>
    </w:sdtPr>
    <w:sdtEndPr/>
    <w:sdtContent>
      <w:p w14:paraId="54F1A195" w14:textId="77777777" w:rsidR="005F6E2F" w:rsidRDefault="005F6E2F">
        <w:pPr>
          <w:pStyle w:val="Pieddepage"/>
          <w:jc w:val="right"/>
        </w:pPr>
        <w:r>
          <w:fldChar w:fldCharType="begin"/>
        </w:r>
        <w:r>
          <w:instrText>PAGE   \* MERGEFORMAT</w:instrText>
        </w:r>
        <w:r>
          <w:fldChar w:fldCharType="separate"/>
        </w:r>
        <w:r>
          <w:t>2</w:t>
        </w:r>
        <w:r>
          <w:fldChar w:fldCharType="end"/>
        </w:r>
      </w:p>
    </w:sdtContent>
  </w:sdt>
  <w:p w14:paraId="54D0ADE4" w14:textId="77777777" w:rsidR="005F6E2F" w:rsidRDefault="005F6E2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7472A" w14:textId="77777777" w:rsidR="00747866" w:rsidRDefault="00747866" w:rsidP="005F6E2F">
      <w:pPr>
        <w:spacing w:after="0" w:line="240" w:lineRule="auto"/>
      </w:pPr>
      <w:r>
        <w:separator/>
      </w:r>
    </w:p>
  </w:footnote>
  <w:footnote w:type="continuationSeparator" w:id="0">
    <w:p w14:paraId="606FC3DB" w14:textId="77777777" w:rsidR="00747866" w:rsidRDefault="00747866" w:rsidP="005F6E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9965DC"/>
    <w:multiLevelType w:val="hybridMultilevel"/>
    <w:tmpl w:val="E53E19A4"/>
    <w:lvl w:ilvl="0" w:tplc="E8545C9A">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25D"/>
    <w:rsid w:val="00074754"/>
    <w:rsid w:val="00277249"/>
    <w:rsid w:val="0028125D"/>
    <w:rsid w:val="00291030"/>
    <w:rsid w:val="002D4215"/>
    <w:rsid w:val="00370608"/>
    <w:rsid w:val="004D54A6"/>
    <w:rsid w:val="00506A4B"/>
    <w:rsid w:val="00523210"/>
    <w:rsid w:val="005673AF"/>
    <w:rsid w:val="005845CB"/>
    <w:rsid w:val="005F6E2F"/>
    <w:rsid w:val="0060188C"/>
    <w:rsid w:val="00651A28"/>
    <w:rsid w:val="0067579C"/>
    <w:rsid w:val="0073270F"/>
    <w:rsid w:val="00747866"/>
    <w:rsid w:val="00795266"/>
    <w:rsid w:val="00903207"/>
    <w:rsid w:val="00931A32"/>
    <w:rsid w:val="00A51B1F"/>
    <w:rsid w:val="00A97A78"/>
    <w:rsid w:val="00AD5564"/>
    <w:rsid w:val="00BA7DA3"/>
    <w:rsid w:val="00C70056"/>
    <w:rsid w:val="00CF5A2A"/>
    <w:rsid w:val="00D206B4"/>
    <w:rsid w:val="00EB3A77"/>
    <w:rsid w:val="00F23BA8"/>
    <w:rsid w:val="00F422D7"/>
    <w:rsid w:val="00F87A5A"/>
    <w:rsid w:val="00FE360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C8DF3"/>
  <w15:chartTrackingRefBased/>
  <w15:docId w15:val="{F23F75E5-8D6C-4EF4-93D5-171E3C024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125D"/>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28125D"/>
    <w:pPr>
      <w:spacing w:after="0" w:line="240" w:lineRule="auto"/>
    </w:pPr>
    <w:rPr>
      <w:lang w:val="fr-FR"/>
    </w:rPr>
  </w:style>
  <w:style w:type="character" w:styleId="Marquedecommentaire">
    <w:name w:val="annotation reference"/>
    <w:basedOn w:val="Policepardfaut"/>
    <w:uiPriority w:val="99"/>
    <w:semiHidden/>
    <w:unhideWhenUsed/>
    <w:rsid w:val="0028125D"/>
    <w:rPr>
      <w:sz w:val="16"/>
      <w:szCs w:val="16"/>
    </w:rPr>
  </w:style>
  <w:style w:type="paragraph" w:styleId="Commentaire">
    <w:name w:val="annotation text"/>
    <w:basedOn w:val="Normal"/>
    <w:link w:val="CommentaireCar"/>
    <w:uiPriority w:val="99"/>
    <w:semiHidden/>
    <w:unhideWhenUsed/>
    <w:rsid w:val="0028125D"/>
    <w:pPr>
      <w:spacing w:line="240" w:lineRule="auto"/>
    </w:pPr>
    <w:rPr>
      <w:sz w:val="20"/>
      <w:szCs w:val="20"/>
    </w:rPr>
  </w:style>
  <w:style w:type="character" w:customStyle="1" w:styleId="CommentaireCar">
    <w:name w:val="Commentaire Car"/>
    <w:basedOn w:val="Policepardfaut"/>
    <w:link w:val="Commentaire"/>
    <w:uiPriority w:val="99"/>
    <w:semiHidden/>
    <w:rsid w:val="0028125D"/>
    <w:rPr>
      <w:sz w:val="20"/>
      <w:szCs w:val="20"/>
      <w:lang w:val="fr-FR"/>
    </w:rPr>
  </w:style>
  <w:style w:type="character" w:styleId="Lienhypertexte">
    <w:name w:val="Hyperlink"/>
    <w:basedOn w:val="Policepardfaut"/>
    <w:uiPriority w:val="99"/>
    <w:unhideWhenUsed/>
    <w:rsid w:val="0028125D"/>
    <w:rPr>
      <w:color w:val="0563C1" w:themeColor="hyperlink"/>
      <w:u w:val="single"/>
    </w:rPr>
  </w:style>
  <w:style w:type="paragraph" w:styleId="Textedebulles">
    <w:name w:val="Balloon Text"/>
    <w:basedOn w:val="Normal"/>
    <w:link w:val="TextedebullesCar"/>
    <w:uiPriority w:val="99"/>
    <w:semiHidden/>
    <w:unhideWhenUsed/>
    <w:rsid w:val="002812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8125D"/>
    <w:rPr>
      <w:rFonts w:ascii="Segoe UI" w:hAnsi="Segoe UI" w:cs="Segoe UI"/>
      <w:sz w:val="18"/>
      <w:szCs w:val="18"/>
      <w:lang w:val="fr-FR"/>
    </w:rPr>
  </w:style>
  <w:style w:type="paragraph" w:styleId="Paragraphedeliste">
    <w:name w:val="List Paragraph"/>
    <w:basedOn w:val="Normal"/>
    <w:uiPriority w:val="34"/>
    <w:qFormat/>
    <w:rsid w:val="0028125D"/>
    <w:pPr>
      <w:ind w:left="720"/>
      <w:contextualSpacing/>
    </w:pPr>
  </w:style>
  <w:style w:type="paragraph" w:styleId="En-tte">
    <w:name w:val="header"/>
    <w:basedOn w:val="Normal"/>
    <w:link w:val="En-tteCar"/>
    <w:uiPriority w:val="99"/>
    <w:unhideWhenUsed/>
    <w:rsid w:val="005F6E2F"/>
    <w:pPr>
      <w:tabs>
        <w:tab w:val="center" w:pos="4536"/>
        <w:tab w:val="right" w:pos="9072"/>
      </w:tabs>
      <w:spacing w:after="0" w:line="240" w:lineRule="auto"/>
    </w:pPr>
  </w:style>
  <w:style w:type="character" w:customStyle="1" w:styleId="En-tteCar">
    <w:name w:val="En-tête Car"/>
    <w:basedOn w:val="Policepardfaut"/>
    <w:link w:val="En-tte"/>
    <w:uiPriority w:val="99"/>
    <w:rsid w:val="005F6E2F"/>
    <w:rPr>
      <w:lang w:val="fr-FR"/>
    </w:rPr>
  </w:style>
  <w:style w:type="paragraph" w:styleId="Pieddepage">
    <w:name w:val="footer"/>
    <w:basedOn w:val="Normal"/>
    <w:link w:val="PieddepageCar"/>
    <w:uiPriority w:val="99"/>
    <w:unhideWhenUsed/>
    <w:rsid w:val="005F6E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F6E2F"/>
    <w:rPr>
      <w:lang w:val="fr-FR"/>
    </w:rPr>
  </w:style>
  <w:style w:type="paragraph" w:styleId="Rvision">
    <w:name w:val="Revision"/>
    <w:hidden/>
    <w:uiPriority w:val="99"/>
    <w:semiHidden/>
    <w:rsid w:val="00506A4B"/>
    <w:pPr>
      <w:spacing w:after="0" w:line="240" w:lineRule="auto"/>
    </w:pPr>
    <w:rPr>
      <w:lang w:val="fr-FR"/>
    </w:rPr>
  </w:style>
  <w:style w:type="paragraph" w:styleId="Objetducommentaire">
    <w:name w:val="annotation subject"/>
    <w:basedOn w:val="Commentaire"/>
    <w:next w:val="Commentaire"/>
    <w:link w:val="ObjetducommentaireCar"/>
    <w:uiPriority w:val="99"/>
    <w:semiHidden/>
    <w:unhideWhenUsed/>
    <w:rsid w:val="00BA7DA3"/>
    <w:rPr>
      <w:b/>
      <w:bCs/>
    </w:rPr>
  </w:style>
  <w:style w:type="character" w:customStyle="1" w:styleId="ObjetducommentaireCar">
    <w:name w:val="Objet du commentaire Car"/>
    <w:basedOn w:val="CommentaireCar"/>
    <w:link w:val="Objetducommentaire"/>
    <w:uiPriority w:val="99"/>
    <w:semiHidden/>
    <w:rsid w:val="00BA7DA3"/>
    <w:rPr>
      <w:b/>
      <w:bCs/>
      <w:sz w:val="20"/>
      <w:szCs w:val="20"/>
      <w:lang w:val="fr-FR"/>
    </w:rPr>
  </w:style>
  <w:style w:type="character" w:styleId="Mentionnonrsolue">
    <w:name w:val="Unresolved Mention"/>
    <w:basedOn w:val="Policepardfaut"/>
    <w:uiPriority w:val="99"/>
    <w:semiHidden/>
    <w:unhideWhenUsed/>
    <w:rsid w:val="005845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mentine.bosch_bouju@bordeaux-inp.fr"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ebastien.lecommandoux@bordeaux-inp.fr" TargetMode="Externa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A9271-682E-4DD7-A061-D51E28F46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6</Pages>
  <Words>880</Words>
  <Characters>5021</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Clementine Bosch-Bouju</dc:creator>
  <cp:keywords/>
  <dc:description/>
  <cp:lastModifiedBy>Clementine Bosch-Bouju</cp:lastModifiedBy>
  <cp:revision>14</cp:revision>
  <dcterms:created xsi:type="dcterms:W3CDTF">2026-03-20T11:11:00Z</dcterms:created>
  <dcterms:modified xsi:type="dcterms:W3CDTF">2026-03-24T07:47:00Z</dcterms:modified>
</cp:coreProperties>
</file>