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B3D2D" w14:textId="77777777" w:rsidR="00445DBB" w:rsidRDefault="00445DBB" w:rsidP="00445DBB">
      <w:pPr>
        <w:pStyle w:val="Heading3"/>
        <w:jc w:val="both"/>
        <w:rPr>
          <w:rFonts w:ascii="Calibri" w:hAnsi="Calibri" w:cs="Calibri"/>
          <w:sz w:val="21"/>
          <w:szCs w:val="21"/>
        </w:rPr>
      </w:pPr>
      <w:r>
        <w:rPr>
          <w:rStyle w:val="Strong"/>
          <w:rFonts w:ascii="Calibri" w:hAnsi="Calibri" w:cs="Calibri"/>
          <w:b w:val="0"/>
          <w:sz w:val="21"/>
          <w:szCs w:val="21"/>
        </w:rPr>
        <w:t>Supplementary Figures</w:t>
      </w:r>
    </w:p>
    <w:p w14:paraId="547699D9" w14:textId="77777777" w:rsidR="00445DBB" w:rsidRDefault="00445DBB" w:rsidP="00445DBB">
      <w:pPr>
        <w:pStyle w:val="NormalWeb"/>
        <w:widowControl/>
        <w:jc w:val="both"/>
        <w:rPr>
          <w:rFonts w:ascii="Calibri" w:hAnsi="Calibri" w:cs="Calibri"/>
          <w:sz w:val="21"/>
          <w:szCs w:val="21"/>
        </w:rPr>
      </w:pPr>
      <w:r>
        <w:rPr>
          <w:rStyle w:val="Strong"/>
          <w:rFonts w:ascii="Calibri" w:hAnsi="Calibri" w:cs="Calibri"/>
          <w:sz w:val="21"/>
          <w:szCs w:val="21"/>
        </w:rPr>
        <w:t>Supplementary Figure S1</w:t>
      </w:r>
      <w:r>
        <w:rPr>
          <w:rFonts w:ascii="Calibri" w:hAnsi="Calibri" w:cs="Calibri"/>
          <w:sz w:val="21"/>
          <w:szCs w:val="21"/>
        </w:rPr>
        <w:t xml:space="preserve"> Prevalence of high ischemic risk criteria in the dual high-risk population (N=22,012). eGFR, estimated glomerular filtration rate; LAD, left anterior descending artery</w:t>
      </w:r>
    </w:p>
    <w:p w14:paraId="64F90401" w14:textId="77777777" w:rsidR="00445DBB" w:rsidRDefault="00445DBB" w:rsidP="00445DBB">
      <w:pPr>
        <w:pStyle w:val="NormalWeb"/>
        <w:widowControl/>
        <w:jc w:val="both"/>
        <w:rPr>
          <w:rFonts w:ascii="Calibri" w:hAnsi="Calibri" w:cs="Calibri"/>
          <w:sz w:val="21"/>
          <w:szCs w:val="21"/>
        </w:rPr>
      </w:pPr>
      <w:r>
        <w:rPr>
          <w:rStyle w:val="Strong"/>
          <w:rFonts w:ascii="Calibri" w:hAnsi="Calibri" w:cs="Calibri"/>
          <w:sz w:val="21"/>
          <w:szCs w:val="21"/>
        </w:rPr>
        <w:t>Supplementary Figure S2</w:t>
      </w:r>
      <w:r>
        <w:rPr>
          <w:rFonts w:ascii="Calibri" w:hAnsi="Calibri" w:cs="Calibri"/>
          <w:sz w:val="21"/>
          <w:szCs w:val="21"/>
        </w:rPr>
        <w:t xml:space="preserve"> Prevalence of high bleeding risk criteria in the dual high-risk population (N=22,012). eGFR, estimated glomerular filtration rate.</w:t>
      </w:r>
    </w:p>
    <w:p w14:paraId="401B82F7" w14:textId="77777777" w:rsidR="00445DBB" w:rsidRDefault="00445DBB" w:rsidP="00445DBB">
      <w:pPr>
        <w:pStyle w:val="NormalWeb"/>
        <w:widowControl/>
        <w:jc w:val="both"/>
        <w:rPr>
          <w:rFonts w:ascii="Calibri" w:hAnsi="Calibri" w:cs="Calibri"/>
          <w:sz w:val="21"/>
          <w:szCs w:val="21"/>
        </w:rPr>
      </w:pPr>
      <w:r>
        <w:rPr>
          <w:rStyle w:val="Strong"/>
          <w:rFonts w:ascii="Calibri" w:hAnsi="Calibri" w:cs="Calibri"/>
          <w:sz w:val="21"/>
          <w:szCs w:val="21"/>
        </w:rPr>
        <w:t>Supplementary Figure S3</w:t>
      </w:r>
      <w:r>
        <w:rPr>
          <w:rFonts w:ascii="Calibri" w:hAnsi="Calibri" w:cs="Calibri"/>
          <w:sz w:val="21"/>
          <w:szCs w:val="21"/>
        </w:rPr>
        <w:t xml:space="preserve"> UpSet plots illustrating the combinations of risk criteria in the dual high-risk population (N=22,012). (A) High ischemic risk criteria combinations. (B) High bleeding risk criteria combinations. DM, diabetes mellitus; eGFR, estimated glomerular filtration rate; LM, left main; pLAD, proximal left anterior descending artery; TL, target lesion.</w:t>
      </w:r>
    </w:p>
    <w:p w14:paraId="7A7C0715" w14:textId="77777777" w:rsidR="00445DBB" w:rsidRDefault="00445DBB" w:rsidP="00445DBB">
      <w:pPr>
        <w:pStyle w:val="NormalWeb"/>
        <w:widowControl/>
        <w:jc w:val="both"/>
        <w:rPr>
          <w:rFonts w:ascii="Calibri" w:hAnsi="Calibri" w:cs="Calibri"/>
          <w:sz w:val="21"/>
          <w:szCs w:val="21"/>
        </w:rPr>
      </w:pPr>
      <w:r>
        <w:rPr>
          <w:rStyle w:val="Strong"/>
          <w:rFonts w:ascii="Calibri" w:hAnsi="Calibri" w:cs="Calibri"/>
          <w:sz w:val="21"/>
          <w:szCs w:val="21"/>
        </w:rPr>
        <w:t>Supplementary Figure S4</w:t>
      </w:r>
      <w:r>
        <w:rPr>
          <w:rFonts w:ascii="Calibri" w:hAnsi="Calibri" w:cs="Calibri"/>
          <w:sz w:val="21"/>
          <w:szCs w:val="21"/>
        </w:rPr>
        <w:t xml:space="preserve"> Patterns of missing data across study variables prior to multiple imputation.</w:t>
      </w:r>
    </w:p>
    <w:p w14:paraId="0328AA2B" w14:textId="77777777" w:rsidR="00445DBB" w:rsidRDefault="00445DBB" w:rsidP="00445DBB">
      <w:pPr>
        <w:pStyle w:val="NormalWeb"/>
        <w:widowControl/>
        <w:jc w:val="both"/>
        <w:rPr>
          <w:rFonts w:ascii="Calibri" w:hAnsi="Calibri" w:cs="Calibri"/>
          <w:sz w:val="21"/>
          <w:szCs w:val="21"/>
        </w:rPr>
      </w:pPr>
      <w:r>
        <w:rPr>
          <w:rStyle w:val="Strong"/>
          <w:rFonts w:ascii="Calibri" w:hAnsi="Calibri" w:cs="Calibri"/>
          <w:sz w:val="21"/>
          <w:szCs w:val="21"/>
        </w:rPr>
        <w:t>Supplementary Figure S5</w:t>
      </w:r>
      <w:r>
        <w:rPr>
          <w:rFonts w:ascii="Calibri" w:hAnsi="Calibri" w:cs="Calibri"/>
          <w:sz w:val="21"/>
          <w:szCs w:val="21"/>
        </w:rPr>
        <w:t xml:space="preserve"> Convergence diagnostics of multiple imputation by chained equations across 10 iterations for key variables with missing data.</w:t>
      </w:r>
    </w:p>
    <w:p w14:paraId="4A14D8B6" w14:textId="77777777" w:rsidR="00445DBB" w:rsidRDefault="00445DBB" w:rsidP="00445DBB">
      <w:pPr>
        <w:pStyle w:val="NormalWeb"/>
        <w:widowControl/>
        <w:jc w:val="both"/>
        <w:rPr>
          <w:rFonts w:ascii="Calibri" w:hAnsi="Calibri" w:cs="Calibri"/>
          <w:sz w:val="21"/>
          <w:szCs w:val="21"/>
        </w:rPr>
      </w:pPr>
      <w:r>
        <w:rPr>
          <w:rStyle w:val="Strong"/>
          <w:rFonts w:ascii="Calibri" w:hAnsi="Calibri" w:cs="Calibri"/>
          <w:sz w:val="21"/>
          <w:szCs w:val="21"/>
        </w:rPr>
        <w:t>Supplementary Figure S6</w:t>
      </w:r>
      <w:r>
        <w:rPr>
          <w:rFonts w:ascii="Calibri" w:hAnsi="Calibri" w:cs="Calibri"/>
          <w:sz w:val="21"/>
          <w:szCs w:val="21"/>
        </w:rPr>
        <w:t xml:space="preserve"> Distribution of propensity scores by treatment group.</w:t>
      </w:r>
    </w:p>
    <w:p w14:paraId="1CCA9497" w14:textId="77777777" w:rsidR="00445DBB" w:rsidRDefault="00445DBB" w:rsidP="00445DBB">
      <w:pPr>
        <w:pStyle w:val="NormalWeb"/>
        <w:widowControl/>
        <w:jc w:val="both"/>
        <w:rPr>
          <w:rFonts w:ascii="Calibri" w:hAnsi="Calibri" w:cs="Calibri"/>
          <w:sz w:val="21"/>
          <w:szCs w:val="21"/>
        </w:rPr>
      </w:pPr>
      <w:r>
        <w:rPr>
          <w:rStyle w:val="Strong"/>
          <w:rFonts w:ascii="Calibri" w:hAnsi="Calibri" w:cs="Calibri"/>
          <w:sz w:val="21"/>
          <w:szCs w:val="21"/>
        </w:rPr>
        <w:t>Supplementary Figure S7</w:t>
      </w:r>
      <w:r>
        <w:rPr>
          <w:rFonts w:ascii="Calibri" w:hAnsi="Calibri" w:cs="Calibri"/>
          <w:sz w:val="21"/>
          <w:szCs w:val="21"/>
        </w:rPr>
        <w:t xml:space="preserve"> Love plot of absolute standardized mean differences for baseline covariates before and after propensity score weighting. ACEI, angiotensin-converting enzyme inhibitor; ARB, angiotensin receptor blocker; ATT, average treatment effect on the treated; CTO, chronic total occlusion; eGFR, estimated glomerular filtration rate; HDL-C, high-density lipoprotein cholesterol; IPW, inverse probability weighting; LAD, left anterior descending artery; LCX, left circumflex artery; LDL-C, low-density lipoprotein cholesterol; LM, left main; LVEF, left ventricular ejection fraction; MI, myocardial infarction; PCI, percutaneous coronary intervention; PPI, proton pump inhibitor; RCA, right coronary artery; SMD, standardized mean difference.</w:t>
      </w:r>
    </w:p>
    <w:p w14:paraId="22B32080" w14:textId="77777777" w:rsidR="00445DBB" w:rsidRDefault="00445DBB" w:rsidP="00445DBB">
      <w:pPr>
        <w:pStyle w:val="NormalWeb"/>
        <w:widowControl/>
        <w:jc w:val="both"/>
        <w:rPr>
          <w:rFonts w:ascii="Calibri" w:hAnsi="Calibri" w:cs="Calibri"/>
          <w:sz w:val="21"/>
          <w:szCs w:val="21"/>
        </w:rPr>
      </w:pPr>
      <w:r>
        <w:rPr>
          <w:rStyle w:val="Strong"/>
          <w:rFonts w:ascii="Calibri" w:hAnsi="Calibri" w:cs="Calibri"/>
          <w:sz w:val="21"/>
          <w:szCs w:val="21"/>
        </w:rPr>
        <w:t>Supplementary Figure S8</w:t>
      </w:r>
      <w:r>
        <w:rPr>
          <w:rFonts w:ascii="Calibri" w:hAnsi="Calibri" w:cs="Calibri"/>
          <w:sz w:val="21"/>
          <w:szCs w:val="21"/>
        </w:rPr>
        <w:t xml:space="preserve"> Distribution of propensity score weights by weighting method. ATT, average treatment effect on the treated; IPW, inverse probability weighting.</w:t>
      </w:r>
    </w:p>
    <w:p w14:paraId="4CF29874" w14:textId="77777777" w:rsidR="00445DBB" w:rsidRDefault="00445DBB" w:rsidP="00445DBB">
      <w:pPr>
        <w:tabs>
          <w:tab w:val="left" w:pos="2428"/>
        </w:tabs>
        <w:rPr>
          <w:rFonts w:ascii="Calibri" w:hAnsi="Calibri" w:cs="Calibri"/>
        </w:rPr>
      </w:pPr>
    </w:p>
    <w:p w14:paraId="1C36CC71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DBB"/>
    <w:rsid w:val="000C4033"/>
    <w:rsid w:val="00173ED8"/>
    <w:rsid w:val="00445DBB"/>
    <w:rsid w:val="004B42CB"/>
    <w:rsid w:val="005F2B46"/>
    <w:rsid w:val="006E1731"/>
    <w:rsid w:val="00866D74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8F825"/>
  <w15:chartTrackingRefBased/>
  <w15:docId w15:val="{371E4C27-7184-449F-939D-58018AB10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5DBB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5DB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5DB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445DB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5DB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5DB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5DB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5DB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5DB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5DB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5D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5D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5D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5D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5D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5D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5D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5D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5D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5DB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45D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5DB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45D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5DB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45D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5DB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45D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5DB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5D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5DB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445DB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qFormat/>
    <w:rsid w:val="00445DBB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1712</Characters>
  <Application>Microsoft Office Word</Application>
  <DocSecurity>0</DocSecurity>
  <Lines>43</Lines>
  <Paragraphs>25</Paragraphs>
  <ScaleCrop>false</ScaleCrop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2026-04-10T12:33:00Z</dcterms:created>
  <dcterms:modified xsi:type="dcterms:W3CDTF">2026-04-10T12:34:00Z</dcterms:modified>
</cp:coreProperties>
</file>