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7F4E" w14:textId="77777777" w:rsidR="00E82D60" w:rsidRPr="004C6CAD" w:rsidRDefault="00E82D60" w:rsidP="00E82D60">
      <w:pPr>
        <w:pStyle w:val="NormalWeb"/>
        <w:spacing w:line="278" w:lineRule="auto"/>
        <w:jc w:val="center"/>
        <w:rPr>
          <w:sz w:val="40"/>
          <w:szCs w:val="40"/>
        </w:rPr>
      </w:pPr>
      <w:r w:rsidRPr="004C6CAD">
        <w:rPr>
          <w:sz w:val="40"/>
          <w:szCs w:val="40"/>
        </w:rPr>
        <w:t>Supplementary Materials</w:t>
      </w:r>
      <w:r>
        <w:rPr>
          <w:sz w:val="40"/>
          <w:szCs w:val="40"/>
        </w:rPr>
        <w:t>:</w:t>
      </w:r>
    </w:p>
    <w:p w14:paraId="6866AC6C" w14:textId="77777777" w:rsidR="00E82D60" w:rsidRPr="00912E28" w:rsidRDefault="00E82D60" w:rsidP="00E82D60">
      <w:pPr>
        <w:pStyle w:val="NormalWeb"/>
        <w:spacing w:line="278" w:lineRule="auto"/>
        <w:jc w:val="center"/>
        <w:rPr>
          <w:sz w:val="22"/>
          <w:szCs w:val="22"/>
        </w:rPr>
      </w:pPr>
    </w:p>
    <w:p w14:paraId="45F1AA50" w14:textId="77777777" w:rsidR="00E82D60" w:rsidRPr="00912E28" w:rsidRDefault="00E82D60" w:rsidP="00E82D60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 w:rsidRPr="00912E28">
        <w:rPr>
          <w:rFonts w:ascii="Times New Roman" w:hAnsi="Times New Roman" w:cs="Times New Roman"/>
          <w:sz w:val="30"/>
          <w:szCs w:val="30"/>
          <w:lang w:val="en-US"/>
        </w:rPr>
        <w:t>Flux-bias-free flux qubit driven by low-power single-flux-quantum driver on monolithically integrated circuit</w:t>
      </w:r>
    </w:p>
    <w:p w14:paraId="631F9B4C" w14:textId="77777777" w:rsidR="00E82D60" w:rsidRPr="00531CB7" w:rsidRDefault="00E82D60" w:rsidP="00E82D60">
      <w:pPr>
        <w:jc w:val="center"/>
        <w:rPr>
          <w:rFonts w:ascii="Times New Roman" w:hAnsi="Times New Roman" w:cs="Times New Roman"/>
          <w:i/>
          <w:iCs/>
          <w:sz w:val="22"/>
          <w:szCs w:val="22"/>
          <w:vertAlign w:val="superscript"/>
          <w:lang w:val="en-US"/>
        </w:rPr>
      </w:pPr>
      <w:r w:rsidRPr="00531CB7">
        <w:rPr>
          <w:rFonts w:ascii="Times New Roman" w:hAnsi="Times New Roman" w:cs="Times New Roman"/>
          <w:sz w:val="22"/>
          <w:szCs w:val="22"/>
          <w:lang w:val="en-US"/>
        </w:rPr>
        <w:t>Duong Pham</w:t>
      </w:r>
      <w:r w:rsidRPr="00531CB7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1, *</w:t>
      </w:r>
      <w:r w:rsidRPr="00531CB7">
        <w:rPr>
          <w:rFonts w:ascii="Times New Roman" w:hAnsi="Times New Roman" w:cs="Times New Roman"/>
          <w:sz w:val="22"/>
          <w:szCs w:val="22"/>
          <w:lang w:val="en-US"/>
        </w:rPr>
        <w:t>, Tomoharu Ueda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531CB7">
        <w:rPr>
          <w:rFonts w:ascii="Times New Roman" w:hAnsi="Times New Roman" w:cs="Times New Roman"/>
          <w:sz w:val="22"/>
          <w:szCs w:val="22"/>
          <w:lang w:val="en-US"/>
        </w:rPr>
        <w:t>, Shigeyuki Miyajima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  <w:r w:rsidRPr="00531CB7">
        <w:rPr>
          <w:rFonts w:ascii="Times New Roman" w:hAnsi="Times New Roman" w:cs="Times New Roman"/>
          <w:sz w:val="22"/>
          <w:szCs w:val="22"/>
          <w:lang w:val="en-US"/>
        </w:rPr>
        <w:t>, Hirotaka Terai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  <w:r w:rsidRPr="00531CB7">
        <w:rPr>
          <w:rFonts w:ascii="Times New Roman" w:hAnsi="Times New Roman" w:cs="Times New Roman"/>
          <w:sz w:val="22"/>
          <w:szCs w:val="22"/>
          <w:lang w:val="en-US"/>
        </w:rPr>
        <w:t>, Kunihiro Inomata</w:t>
      </w:r>
      <w:r w:rsidRPr="00531CB7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4</w:t>
      </w:r>
      <w:r w:rsidRPr="00531CB7">
        <w:rPr>
          <w:rFonts w:ascii="Times New Roman" w:hAnsi="Times New Roman" w:cs="Times New Roman"/>
          <w:sz w:val="22"/>
          <w:szCs w:val="22"/>
          <w:lang w:val="en-US"/>
        </w:rPr>
        <w:t>, Masamitsu Tanaka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531CB7">
        <w:rPr>
          <w:rFonts w:ascii="Times New Roman" w:hAnsi="Times New Roman" w:cs="Times New Roman"/>
          <w:sz w:val="22"/>
          <w:szCs w:val="22"/>
          <w:lang w:val="en-US"/>
        </w:rPr>
        <w:t>, Akira Fujimaki</w:t>
      </w: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531CB7">
        <w:rPr>
          <w:rFonts w:ascii="Times New Roman" w:hAnsi="Times New Roman" w:cs="Times New Roman"/>
          <w:sz w:val="22"/>
          <w:szCs w:val="22"/>
          <w:lang w:val="en-US"/>
        </w:rPr>
        <w:t xml:space="preserve"> and Taro Yamashita</w:t>
      </w:r>
      <w:r w:rsidRPr="00531CB7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</w:p>
    <w:p w14:paraId="4E95A373" w14:textId="77777777" w:rsidR="00E82D60" w:rsidRDefault="00E82D60" w:rsidP="00E82D60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0634D4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1 </w:t>
      </w:r>
      <w:r w:rsidRPr="000634D4">
        <w:rPr>
          <w:rFonts w:ascii="Times New Roman" w:hAnsi="Times New Roman" w:cs="Times New Roman"/>
          <w:sz w:val="22"/>
          <w:szCs w:val="22"/>
          <w:lang w:val="en-US"/>
        </w:rPr>
        <w:t>Graduate School of Engineering, Tohoku University, Sendai, Japan</w:t>
      </w:r>
    </w:p>
    <w:p w14:paraId="5DAC61BF" w14:textId="77777777" w:rsidR="00E82D60" w:rsidRPr="00AE6A01" w:rsidRDefault="00E82D60" w:rsidP="00E82D6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0634D4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 </w:t>
      </w:r>
      <w:r w:rsidRPr="000634D4">
        <w:rPr>
          <w:rFonts w:ascii="Times New Roman" w:hAnsi="Times New Roman" w:cs="Times New Roman"/>
          <w:sz w:val="22"/>
          <w:szCs w:val="22"/>
          <w:lang w:val="en-US"/>
        </w:rPr>
        <w:t>Nagoya University, Furo-</w:t>
      </w:r>
      <w:proofErr w:type="spellStart"/>
      <w:r w:rsidRPr="000634D4">
        <w:rPr>
          <w:rFonts w:ascii="Times New Roman" w:hAnsi="Times New Roman" w:cs="Times New Roman"/>
          <w:sz w:val="22"/>
          <w:szCs w:val="22"/>
          <w:lang w:val="en-US"/>
        </w:rPr>
        <w:t>cho</w:t>
      </w:r>
      <w:proofErr w:type="spellEnd"/>
      <w:r w:rsidRPr="000634D4">
        <w:rPr>
          <w:rFonts w:ascii="Times New Roman" w:hAnsi="Times New Roman" w:cs="Times New Roman"/>
          <w:sz w:val="22"/>
          <w:szCs w:val="22"/>
          <w:lang w:val="en-US"/>
        </w:rPr>
        <w:t>, Chikusa-</w:t>
      </w:r>
      <w:proofErr w:type="spellStart"/>
      <w:r w:rsidRPr="000634D4">
        <w:rPr>
          <w:rFonts w:ascii="Times New Roman" w:hAnsi="Times New Roman" w:cs="Times New Roman"/>
          <w:sz w:val="22"/>
          <w:szCs w:val="22"/>
          <w:lang w:val="en-US"/>
        </w:rPr>
        <w:t>ku</w:t>
      </w:r>
      <w:proofErr w:type="spellEnd"/>
      <w:r w:rsidRPr="000634D4">
        <w:rPr>
          <w:rFonts w:ascii="Times New Roman" w:hAnsi="Times New Roman" w:cs="Times New Roman"/>
          <w:sz w:val="22"/>
          <w:szCs w:val="22"/>
          <w:lang w:val="en-US"/>
        </w:rPr>
        <w:t>, Nagoya 464-8603, Japan</w:t>
      </w:r>
    </w:p>
    <w:p w14:paraId="392EB69A" w14:textId="77777777" w:rsidR="00E82D60" w:rsidRPr="000634D4" w:rsidRDefault="00E82D60" w:rsidP="00E82D60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3</w:t>
      </w:r>
      <w:r w:rsidRPr="000634D4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 </w:t>
      </w:r>
      <w:r w:rsidRPr="000634D4">
        <w:rPr>
          <w:rFonts w:ascii="Times New Roman" w:hAnsi="Times New Roman" w:cs="Times New Roman"/>
          <w:sz w:val="22"/>
          <w:szCs w:val="22"/>
          <w:lang w:val="en-US"/>
        </w:rPr>
        <w:t>Advanced ICT Research Institute, National Institute of Information and Communications Technology (NICT), Kobe, Japan</w:t>
      </w:r>
    </w:p>
    <w:p w14:paraId="50200018" w14:textId="77777777" w:rsidR="00E82D60" w:rsidRPr="000634D4" w:rsidRDefault="00E82D60" w:rsidP="00E82D60">
      <w:pPr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0634D4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4 </w:t>
      </w:r>
      <w:r w:rsidRPr="000634D4">
        <w:rPr>
          <w:rFonts w:ascii="Times New Roman" w:hAnsi="Times New Roman" w:cs="Times New Roman"/>
          <w:sz w:val="22"/>
          <w:szCs w:val="22"/>
          <w:lang w:val="en-US"/>
        </w:rPr>
        <w:t>National Institute of Advanced Industrial Science and Technology (AIST), Tsukuba, Ibaraki, Japan</w:t>
      </w:r>
    </w:p>
    <w:p w14:paraId="76B083DD" w14:textId="77777777" w:rsidR="00E82D60" w:rsidRPr="000634D4" w:rsidRDefault="00E82D60" w:rsidP="00E82D60">
      <w:pPr>
        <w:rPr>
          <w:rFonts w:ascii="Times New Roman" w:hAnsi="Times New Roman" w:cs="Times New Roman"/>
          <w:lang w:val="en-US"/>
        </w:rPr>
      </w:pPr>
      <w:r w:rsidRPr="000634D4">
        <w:rPr>
          <w:rFonts w:ascii="Times New Roman" w:hAnsi="Times New Roman" w:cs="Times New Roman"/>
          <w:sz w:val="22"/>
          <w:szCs w:val="22"/>
          <w:lang w:val="en-US"/>
        </w:rPr>
        <w:t xml:space="preserve">* Present affiliation: </w:t>
      </w:r>
      <w:r>
        <w:rPr>
          <w:rFonts w:ascii="Times New Roman" w:hAnsi="Times New Roman" w:cs="Times New Roman"/>
          <w:vertAlign w:val="superscript"/>
          <w:lang w:val="en-US"/>
        </w:rPr>
        <w:t>3</w:t>
      </w:r>
      <w:r w:rsidRPr="000634D4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 xml:space="preserve"> </w:t>
      </w:r>
      <w:r w:rsidRPr="000634D4">
        <w:rPr>
          <w:rFonts w:ascii="Times New Roman" w:hAnsi="Times New Roman" w:cs="Times New Roman"/>
          <w:sz w:val="22"/>
          <w:szCs w:val="22"/>
          <w:lang w:val="en-US"/>
        </w:rPr>
        <w:t>Advanced ICT Research Institute, National Institute of Information and Communications Technology (NICT), Kobe, Japan</w:t>
      </w:r>
    </w:p>
    <w:p w14:paraId="6CBFABBF" w14:textId="77777777" w:rsidR="00E82D60" w:rsidRPr="00C64292" w:rsidRDefault="00E82D60" w:rsidP="00E82D6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2C9EF9" w14:textId="77777777" w:rsidR="00E82D60" w:rsidRPr="007E1309" w:rsidRDefault="00E82D60" w:rsidP="00E82D60">
      <w:pPr>
        <w:pStyle w:val="NormalWeb"/>
        <w:spacing w:line="278" w:lineRule="auto"/>
        <w:jc w:val="center"/>
        <w:rPr>
          <w:sz w:val="22"/>
          <w:szCs w:val="22"/>
        </w:rPr>
      </w:pPr>
    </w:p>
    <w:p w14:paraId="1ADB6F2E" w14:textId="77777777" w:rsidR="00E82D60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</w:p>
    <w:p w14:paraId="6F44FE71" w14:textId="77777777" w:rsidR="00E82D60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</w:p>
    <w:p w14:paraId="44E220DF" w14:textId="77777777" w:rsidR="00E82D60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</w:p>
    <w:p w14:paraId="3213F38A" w14:textId="77777777" w:rsidR="00E82D60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</w:p>
    <w:p w14:paraId="4272B785" w14:textId="77777777" w:rsidR="00E82D60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</w:p>
    <w:p w14:paraId="45F7409C" w14:textId="77777777" w:rsidR="00E82D60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</w:p>
    <w:p w14:paraId="39766B9A" w14:textId="77777777" w:rsidR="00E82D60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</w:p>
    <w:p w14:paraId="0F0ABF00" w14:textId="77777777" w:rsidR="00E82D60" w:rsidRDefault="00E82D60" w:rsidP="00E82D60">
      <w:pPr>
        <w:pStyle w:val="NormalWeb"/>
        <w:spacing w:line="278" w:lineRule="auto"/>
        <w:rPr>
          <w:sz w:val="22"/>
          <w:szCs w:val="22"/>
        </w:rPr>
      </w:pPr>
      <w:r>
        <w:rPr>
          <w:noProof/>
          <w:sz w:val="22"/>
          <w:szCs w:val="2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8A6D9" wp14:editId="77B5BE93">
                <wp:simplePos x="0" y="0"/>
                <wp:positionH relativeFrom="column">
                  <wp:posOffset>3893820</wp:posOffset>
                </wp:positionH>
                <wp:positionV relativeFrom="paragraph">
                  <wp:posOffset>3086652</wp:posOffset>
                </wp:positionV>
                <wp:extent cx="558800" cy="330200"/>
                <wp:effectExtent l="0" t="0" r="0" b="0"/>
                <wp:wrapNone/>
                <wp:docPr id="185418379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01DF7" w14:textId="77777777" w:rsidR="00E82D60" w:rsidRPr="003B4008" w:rsidRDefault="00E82D60" w:rsidP="00E82D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400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(13)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8A6D9" id="Rectangle 7" o:spid="_x0000_s1026" style="position:absolute;margin-left:306.6pt;margin-top:243.05pt;width:44pt;height: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" filled="f" stroked="f" strokeweight="1.5pt">
                <v:textbox>
                  <w:txbxContent>
                    <w:p w14:paraId="25E01DF7" w14:textId="77777777" w:rsidR="00E82D60" w:rsidRPr="003B4008" w:rsidRDefault="00E82D60" w:rsidP="00E82D6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3B400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(13)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25D1540" wp14:editId="1804F7DE">
            <wp:extent cx="5400040" cy="2923540"/>
            <wp:effectExtent l="0" t="0" r="0" b="0"/>
            <wp:docPr id="463616678" name="Picture 2" descr="A collage of images of different sha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16678" name="Picture 2" descr="A collage of images of different sha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E247D" w14:textId="77777777" w:rsidR="00E82D60" w:rsidRDefault="00E82D60" w:rsidP="00E82D60">
      <w:pPr>
        <w:pStyle w:val="NormalWeb"/>
        <w:spacing w:line="278" w:lineRule="auto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1A5BB4B" wp14:editId="31EB454A">
            <wp:extent cx="3682371" cy="2025650"/>
            <wp:effectExtent l="0" t="0" r="0" b="0"/>
            <wp:docPr id="528165174" name="Picture 9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65174" name="Picture 9" descr="A diagram of a circ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628" cy="203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A9FD0" w14:textId="77777777" w:rsidR="00E82D60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  <w:r w:rsidRPr="00CB0A0F">
        <w:rPr>
          <w:b/>
          <w:bCs/>
          <w:sz w:val="22"/>
          <w:szCs w:val="22"/>
        </w:rPr>
        <w:t>Supplementary Figure 1:</w:t>
      </w:r>
      <w:r>
        <w:rPr>
          <w:b/>
          <w:bCs/>
          <w:sz w:val="22"/>
          <w:szCs w:val="22"/>
        </w:rPr>
        <w:t xml:space="preserve"> Fabrication process of the monolithic quantum-classical device:</w:t>
      </w:r>
    </w:p>
    <w:p w14:paraId="68319E37" w14:textId="77777777" w:rsidR="00E82D60" w:rsidRPr="00735C98" w:rsidRDefault="00E82D60" w:rsidP="00E82D60">
      <w:pPr>
        <w:pStyle w:val="NormalWeb"/>
        <w:spacing w:line="278" w:lineRule="auto"/>
        <w:jc w:val="both"/>
        <w:rPr>
          <w:sz w:val="22"/>
          <w:szCs w:val="22"/>
        </w:rPr>
      </w:pPr>
      <w:r w:rsidRPr="0040148D">
        <w:rPr>
          <w:b/>
          <w:bCs/>
          <w:sz w:val="22"/>
          <w:szCs w:val="22"/>
        </w:rPr>
        <w:t>(1)</w:t>
      </w:r>
      <w:r>
        <w:rPr>
          <w:sz w:val="22"/>
          <w:szCs w:val="22"/>
        </w:rPr>
        <w:t xml:space="preserve"> Epitaxial growth of </w:t>
      </w:r>
      <w:proofErr w:type="spellStart"/>
      <w:r>
        <w:rPr>
          <w:sz w:val="22"/>
          <w:szCs w:val="22"/>
        </w:rPr>
        <w:t>NbN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AlN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NbN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trilayer</w:t>
      </w:r>
      <w:proofErr w:type="spellEnd"/>
      <w:r>
        <w:rPr>
          <w:sz w:val="22"/>
          <w:szCs w:val="22"/>
        </w:rPr>
        <w:t xml:space="preserve"> on </w:t>
      </w:r>
      <w:proofErr w:type="spellStart"/>
      <w:r>
        <w:rPr>
          <w:sz w:val="22"/>
          <w:szCs w:val="22"/>
        </w:rPr>
        <w:t>TiN</w:t>
      </w:r>
      <w:proofErr w:type="spellEnd"/>
      <w:r>
        <w:rPr>
          <w:sz w:val="22"/>
          <w:szCs w:val="22"/>
        </w:rPr>
        <w:t xml:space="preserve">/Si substrate, </w:t>
      </w:r>
      <w:r w:rsidRPr="0040148D">
        <w:rPr>
          <w:b/>
          <w:bCs/>
          <w:sz w:val="22"/>
          <w:szCs w:val="22"/>
        </w:rPr>
        <w:t>(2)</w:t>
      </w:r>
      <w:r>
        <w:rPr>
          <w:sz w:val="22"/>
          <w:szCs w:val="22"/>
        </w:rPr>
        <w:t xml:space="preserve"> Patterning of junctions, base electrodes, capacitor and CPWR (etching), </w:t>
      </w:r>
      <w:r w:rsidRPr="0040148D">
        <w:rPr>
          <w:b/>
          <w:bCs/>
          <w:sz w:val="22"/>
          <w:szCs w:val="22"/>
        </w:rPr>
        <w:t>(3)</w:t>
      </w:r>
      <w:r>
        <w:rPr>
          <w:sz w:val="22"/>
          <w:szCs w:val="22"/>
        </w:rPr>
        <w:t xml:space="preserve"> Patterning SFS junction (lift-off), </w:t>
      </w:r>
      <w:r w:rsidRPr="0040148D">
        <w:rPr>
          <w:b/>
          <w:bCs/>
          <w:sz w:val="22"/>
          <w:szCs w:val="22"/>
        </w:rPr>
        <w:t>(4)</w:t>
      </w:r>
      <w:r>
        <w:rPr>
          <w:sz w:val="22"/>
          <w:szCs w:val="22"/>
        </w:rPr>
        <w:t xml:space="preserve"> Deposition of the first SiO</w:t>
      </w:r>
      <w:r w:rsidRPr="007D49A8">
        <w:rPr>
          <w:sz w:val="22"/>
          <w:szCs w:val="22"/>
          <w:vertAlign w:val="subscript"/>
        </w:rPr>
        <w:t>2</w:t>
      </w:r>
      <w:r>
        <w:rPr>
          <w:sz w:val="22"/>
          <w:szCs w:val="22"/>
          <w:vertAlign w:val="subscript"/>
        </w:rPr>
        <w:softHyphen/>
        <w:t xml:space="preserve"> </w:t>
      </w:r>
      <w:r>
        <w:rPr>
          <w:sz w:val="22"/>
          <w:szCs w:val="22"/>
        </w:rPr>
        <w:t xml:space="preserve">isolating layer (150 nm), </w:t>
      </w:r>
      <w:r w:rsidRPr="00545CF9">
        <w:rPr>
          <w:b/>
          <w:bCs/>
          <w:sz w:val="22"/>
          <w:szCs w:val="22"/>
        </w:rPr>
        <w:t>(5)</w:t>
      </w:r>
      <w:r w:rsidRPr="00545CF9">
        <w:rPr>
          <w:sz w:val="22"/>
          <w:szCs w:val="22"/>
        </w:rPr>
        <w:t xml:space="preserve"> Patt</w:t>
      </w:r>
      <w:r>
        <w:rPr>
          <w:sz w:val="22"/>
          <w:szCs w:val="22"/>
        </w:rPr>
        <w:t xml:space="preserve">ering of Palladium (Pd) shunt resistors, </w:t>
      </w:r>
      <w:r w:rsidRPr="00DD6248">
        <w:rPr>
          <w:b/>
          <w:bCs/>
          <w:sz w:val="22"/>
          <w:szCs w:val="22"/>
        </w:rPr>
        <w:t>(6)</w:t>
      </w:r>
      <w:r>
        <w:rPr>
          <w:sz w:val="22"/>
          <w:szCs w:val="22"/>
        </w:rPr>
        <w:t xml:space="preserve"> Deposition of second SiO</w:t>
      </w:r>
      <w:r w:rsidRPr="007D49A8">
        <w:rPr>
          <w:sz w:val="22"/>
          <w:szCs w:val="22"/>
          <w:vertAlign w:val="subscript"/>
        </w:rPr>
        <w:t>2</w:t>
      </w:r>
      <w:r>
        <w:rPr>
          <w:sz w:val="22"/>
          <w:szCs w:val="22"/>
          <w:vertAlign w:val="subscript"/>
        </w:rPr>
        <w:softHyphen/>
        <w:t xml:space="preserve"> </w:t>
      </w:r>
      <w:r>
        <w:rPr>
          <w:sz w:val="22"/>
          <w:szCs w:val="22"/>
        </w:rPr>
        <w:t xml:space="preserve">isolating layer (300 nm), </w:t>
      </w:r>
      <w:r w:rsidRPr="00DD6248">
        <w:rPr>
          <w:sz w:val="22"/>
          <w:szCs w:val="22"/>
        </w:rPr>
        <w:t xml:space="preserve">Caldera </w:t>
      </w:r>
      <w:r>
        <w:rPr>
          <w:sz w:val="22"/>
          <w:szCs w:val="22"/>
        </w:rPr>
        <w:t xml:space="preserve">patterning and chemical mechanical planarization (CMP), </w:t>
      </w:r>
      <w:r w:rsidRPr="005006DF">
        <w:rPr>
          <w:b/>
          <w:bCs/>
          <w:sz w:val="22"/>
          <w:szCs w:val="22"/>
        </w:rPr>
        <w:t>(7)</w:t>
      </w:r>
      <w:r>
        <w:rPr>
          <w:sz w:val="22"/>
          <w:szCs w:val="22"/>
        </w:rPr>
        <w:t xml:space="preserve"> Etching of resistor-counter and base-wring contact holes, </w:t>
      </w:r>
      <w:r w:rsidRPr="005006DF">
        <w:rPr>
          <w:b/>
          <w:bCs/>
          <w:sz w:val="22"/>
          <w:szCs w:val="22"/>
        </w:rPr>
        <w:t>(8)</w:t>
      </w:r>
      <w:r>
        <w:rPr>
          <w:sz w:val="22"/>
          <w:szCs w:val="22"/>
        </w:rPr>
        <w:t xml:space="preserve"> Additional etching of whole SiO</w:t>
      </w:r>
      <w:r w:rsidRPr="00AB41D8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layer to form contact points (etch-back), </w:t>
      </w:r>
      <w:r w:rsidRPr="006A19F2">
        <w:rPr>
          <w:b/>
          <w:bCs/>
          <w:sz w:val="22"/>
          <w:szCs w:val="22"/>
        </w:rPr>
        <w:t>(9)</w:t>
      </w:r>
      <w:r>
        <w:rPr>
          <w:sz w:val="22"/>
          <w:szCs w:val="22"/>
        </w:rPr>
        <w:t xml:space="preserve"> Patterning of wiring layer, </w:t>
      </w:r>
      <w:r w:rsidRPr="005509A5">
        <w:rPr>
          <w:b/>
          <w:bCs/>
          <w:sz w:val="22"/>
          <w:szCs w:val="22"/>
        </w:rPr>
        <w:t>(10)</w:t>
      </w:r>
      <w:r>
        <w:rPr>
          <w:b/>
          <w:bCs/>
          <w:sz w:val="22"/>
          <w:szCs w:val="22"/>
        </w:rPr>
        <w:t xml:space="preserve"> </w:t>
      </w:r>
      <w:r w:rsidRPr="005509A5">
        <w:rPr>
          <w:sz w:val="22"/>
          <w:szCs w:val="22"/>
        </w:rPr>
        <w:t>Deposition of the third SiO</w:t>
      </w:r>
      <w:r w:rsidRPr="005509A5">
        <w:rPr>
          <w:sz w:val="22"/>
          <w:szCs w:val="22"/>
          <w:vertAlign w:val="subscript"/>
        </w:rPr>
        <w:t xml:space="preserve">2 </w:t>
      </w:r>
      <w:r w:rsidRPr="005509A5">
        <w:rPr>
          <w:sz w:val="22"/>
          <w:szCs w:val="22"/>
        </w:rPr>
        <w:t>layer</w:t>
      </w:r>
      <w:r>
        <w:rPr>
          <w:sz w:val="22"/>
          <w:szCs w:val="22"/>
        </w:rPr>
        <w:t xml:space="preserve"> (600 nm), </w:t>
      </w:r>
      <w:r w:rsidRPr="00DD6248">
        <w:rPr>
          <w:sz w:val="22"/>
          <w:szCs w:val="22"/>
        </w:rPr>
        <w:t xml:space="preserve">Caldera </w:t>
      </w:r>
      <w:r>
        <w:rPr>
          <w:sz w:val="22"/>
          <w:szCs w:val="22"/>
        </w:rPr>
        <w:t xml:space="preserve">patterning and CMP, </w:t>
      </w:r>
      <w:r w:rsidRPr="00CF324E">
        <w:rPr>
          <w:b/>
          <w:bCs/>
          <w:sz w:val="22"/>
          <w:szCs w:val="22"/>
        </w:rPr>
        <w:t>(11)</w:t>
      </w:r>
      <w:r>
        <w:rPr>
          <w:sz w:val="22"/>
          <w:szCs w:val="22"/>
        </w:rPr>
        <w:t xml:space="preserve"> Etching of ground-counter layer contact holes. </w:t>
      </w:r>
      <w:r w:rsidRPr="00A32BC7">
        <w:rPr>
          <w:b/>
          <w:bCs/>
          <w:sz w:val="22"/>
          <w:szCs w:val="22"/>
        </w:rPr>
        <w:t>(12)</w:t>
      </w:r>
      <w:r>
        <w:rPr>
          <w:sz w:val="22"/>
          <w:szCs w:val="22"/>
        </w:rPr>
        <w:t xml:space="preserve"> Patterning of the ground plane, </w:t>
      </w:r>
      <w:r w:rsidRPr="00A32BC7">
        <w:rPr>
          <w:b/>
          <w:bCs/>
          <w:sz w:val="22"/>
          <w:szCs w:val="22"/>
        </w:rPr>
        <w:t>(13)</w:t>
      </w:r>
      <w:r>
        <w:rPr>
          <w:sz w:val="22"/>
          <w:szCs w:val="22"/>
        </w:rPr>
        <w:t xml:space="preserve"> BHF etching of SiO</w:t>
      </w:r>
      <w:r w:rsidRPr="00735C98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in the qubit part.</w:t>
      </w:r>
    </w:p>
    <w:p w14:paraId="528F91E6" w14:textId="77777777" w:rsidR="00E82D60" w:rsidRPr="00CB0A0F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F07E715" wp14:editId="2D38E154">
            <wp:extent cx="5230867" cy="3782291"/>
            <wp:effectExtent l="0" t="0" r="8255" b="8890"/>
            <wp:docPr id="2033240385" name="Picture 4" descr="A diagram of a mach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240385" name="Picture 4" descr="A diagram of a mach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468" cy="3784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D104D" w14:textId="77777777" w:rsidR="00E82D60" w:rsidRPr="00886AEC" w:rsidRDefault="00E82D60" w:rsidP="00E82D60">
      <w:pPr>
        <w:pStyle w:val="NormalWeb"/>
        <w:spacing w:line="278" w:lineRule="auto"/>
        <w:jc w:val="center"/>
        <w:rPr>
          <w:b/>
          <w:bCs/>
          <w:sz w:val="22"/>
          <w:szCs w:val="22"/>
        </w:rPr>
      </w:pPr>
      <w:r w:rsidRPr="00CB0A0F">
        <w:rPr>
          <w:b/>
          <w:bCs/>
          <w:sz w:val="22"/>
          <w:szCs w:val="22"/>
        </w:rPr>
        <w:t xml:space="preserve">Supplementary Figure 2: The measurement setup diagram of </w:t>
      </w:r>
      <w:r>
        <w:rPr>
          <w:b/>
          <w:bCs/>
          <w:sz w:val="22"/>
          <w:szCs w:val="22"/>
        </w:rPr>
        <w:t>the FBF</w:t>
      </w:r>
      <w:r w:rsidRPr="00CB0A0F">
        <w:rPr>
          <w:b/>
          <w:bCs/>
          <w:sz w:val="22"/>
          <w:szCs w:val="22"/>
        </w:rPr>
        <w:t xml:space="preserve"> flux qubit driven by </w:t>
      </w:r>
      <w:r>
        <w:rPr>
          <w:b/>
          <w:bCs/>
          <w:sz w:val="22"/>
          <w:szCs w:val="22"/>
        </w:rPr>
        <w:t xml:space="preserve">the </w:t>
      </w:r>
      <w:r w:rsidRPr="00CB0A0F">
        <w:rPr>
          <w:b/>
          <w:bCs/>
          <w:sz w:val="22"/>
          <w:szCs w:val="22"/>
        </w:rPr>
        <w:t xml:space="preserve">SFQ </w:t>
      </w:r>
      <w:r>
        <w:rPr>
          <w:b/>
          <w:bCs/>
          <w:sz w:val="22"/>
          <w:szCs w:val="22"/>
        </w:rPr>
        <w:t>driver.</w:t>
      </w:r>
    </w:p>
    <w:p w14:paraId="03C73B75" w14:textId="77777777" w:rsidR="00E82D60" w:rsidRPr="008742ED" w:rsidRDefault="00E82D60" w:rsidP="00E82D60">
      <w:pPr>
        <w:rPr>
          <w:rFonts w:ascii="Times New Roman" w:hAnsi="Times New Roman" w:cs="Times New Roman"/>
          <w:sz w:val="22"/>
          <w:szCs w:val="22"/>
        </w:rPr>
      </w:pPr>
      <w:r w:rsidRPr="00FC3522">
        <w:rPr>
          <w:rFonts w:ascii="Times New Roman" w:hAnsi="Times New Roman" w:cs="Times New Roman"/>
          <w:b/>
          <w:bCs/>
          <w:sz w:val="22"/>
          <w:szCs w:val="22"/>
        </w:rPr>
        <w:t xml:space="preserve">Supplementary Note 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8742ED">
        <w:rPr>
          <w:rFonts w:ascii="Times New Roman" w:hAnsi="Times New Roman" w:cs="Times New Roman"/>
          <w:sz w:val="22"/>
          <w:szCs w:val="22"/>
        </w:rPr>
        <w:t xml:space="preserve">: </w:t>
      </w:r>
      <w:r w:rsidRPr="00A0177D">
        <w:rPr>
          <w:rFonts w:ascii="Times New Roman" w:hAnsi="Times New Roman" w:cs="Times New Roman"/>
          <w:b/>
          <w:bCs/>
          <w:sz w:val="22"/>
          <w:szCs w:val="22"/>
        </w:rPr>
        <w:t xml:space="preserve">Demonstration of π-phase shift in </w:t>
      </w:r>
      <w:proofErr w:type="spellStart"/>
      <w:r w:rsidRPr="00A0177D">
        <w:rPr>
          <w:rFonts w:ascii="Times New Roman" w:hAnsi="Times New Roman" w:cs="Times New Roman"/>
          <w:b/>
          <w:bCs/>
          <w:sz w:val="22"/>
          <w:szCs w:val="22"/>
        </w:rPr>
        <w:t>NbN</w:t>
      </w:r>
      <w:proofErr w:type="spellEnd"/>
      <w:r w:rsidRPr="00A0177D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spellStart"/>
      <w:r w:rsidRPr="00A0177D">
        <w:rPr>
          <w:rFonts w:ascii="Times New Roman" w:hAnsi="Times New Roman" w:cs="Times New Roman"/>
          <w:b/>
          <w:bCs/>
          <w:sz w:val="22"/>
          <w:szCs w:val="22"/>
        </w:rPr>
        <w:t>PdNi</w:t>
      </w:r>
      <w:proofErr w:type="spellEnd"/>
      <w:r w:rsidRPr="00A0177D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spellStart"/>
      <w:r w:rsidRPr="00A0177D">
        <w:rPr>
          <w:rFonts w:ascii="Times New Roman" w:hAnsi="Times New Roman" w:cs="Times New Roman"/>
          <w:b/>
          <w:bCs/>
          <w:sz w:val="22"/>
          <w:szCs w:val="22"/>
        </w:rPr>
        <w:t>NbN</w:t>
      </w:r>
      <w:proofErr w:type="spellEnd"/>
      <w:r w:rsidRPr="00A0177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junction </w:t>
      </w:r>
      <w:r w:rsidRPr="00A0177D">
        <w:rPr>
          <w:rFonts w:ascii="Times New Roman" w:hAnsi="Times New Roman" w:cs="Times New Roman"/>
          <w:b/>
          <w:bCs/>
          <w:sz w:val="22"/>
          <w:szCs w:val="22"/>
        </w:rPr>
        <w:t xml:space="preserve">at 15 </w:t>
      </w:r>
      <w:proofErr w:type="spellStart"/>
      <w:r w:rsidRPr="00A0177D">
        <w:rPr>
          <w:rFonts w:ascii="Times New Roman" w:hAnsi="Times New Roman" w:cs="Times New Roman"/>
          <w:b/>
          <w:bCs/>
          <w:sz w:val="22"/>
          <w:szCs w:val="22"/>
        </w:rPr>
        <w:t>mK.</w:t>
      </w:r>
      <w:proofErr w:type="spellEnd"/>
    </w:p>
    <w:p w14:paraId="0D40B70C" w14:textId="4EBE64D8" w:rsidR="00E82D60" w:rsidRDefault="00E82D60" w:rsidP="00E82D60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 w:hint="eastAsia"/>
          <w:sz w:val="22"/>
          <w:szCs w:val="22"/>
        </w:rPr>
        <w:t>I</w:t>
      </w:r>
      <w:r>
        <w:rPr>
          <w:rFonts w:ascii="Times New Roman" w:hAnsi="Times New Roman" w:cs="Times New Roman"/>
          <w:sz w:val="22"/>
          <w:szCs w:val="22"/>
        </w:rPr>
        <w:t>n the ferromagnetic interlayer</w:t>
      </w:r>
      <w:r>
        <w:rPr>
          <w:rFonts w:ascii="Times New Roman" w:hAnsi="Times New Roman" w:cs="Times New Roman" w:hint="eastAsia"/>
          <w:sz w:val="22"/>
          <w:szCs w:val="22"/>
        </w:rPr>
        <w:t xml:space="preserve"> of superconductor/ferromagnet/</w:t>
      </w:r>
      <w:r>
        <w:rPr>
          <w:rFonts w:ascii="Times New Roman" w:hAnsi="Times New Roman" w:cs="Times New Roman"/>
          <w:sz w:val="22"/>
          <w:szCs w:val="22"/>
        </w:rPr>
        <w:t>superconductor</w:t>
      </w:r>
      <w:r>
        <w:rPr>
          <w:rFonts w:ascii="Times New Roman" w:hAnsi="Times New Roman" w:cs="Times New Roman" w:hint="eastAsia"/>
          <w:sz w:val="22"/>
          <w:szCs w:val="22"/>
        </w:rPr>
        <w:t xml:space="preserve"> junctions</w:t>
      </w:r>
      <w:r>
        <w:rPr>
          <w:rFonts w:ascii="Times New Roman" w:hAnsi="Times New Roman" w:cs="Times New Roman"/>
          <w:sz w:val="22"/>
          <w:szCs w:val="22"/>
        </w:rPr>
        <w:t xml:space="preserve">, the </w:t>
      </w:r>
      <w:r>
        <w:rPr>
          <w:rFonts w:ascii="Times New Roman" w:hAnsi="Times New Roman" w:cs="Times New Roman" w:hint="eastAsia"/>
          <w:sz w:val="22"/>
          <w:szCs w:val="22"/>
        </w:rPr>
        <w:t>Cooper</w:t>
      </w:r>
      <w:r>
        <w:rPr>
          <w:rFonts w:ascii="Times New Roman" w:hAnsi="Times New Roman" w:cs="Times New Roman"/>
          <w:sz w:val="22"/>
          <w:szCs w:val="22"/>
        </w:rPr>
        <w:t xml:space="preserve"> pairs are affected by the exchange interactions. Consequently, </w:t>
      </w:r>
      <w:r>
        <w:rPr>
          <w:rFonts w:ascii="Times New Roman" w:hAnsi="Times New Roman" w:cs="Times New Roman" w:hint="eastAsia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superconducting order parameter</w:t>
      </w:r>
      <w:r>
        <w:rPr>
          <w:rFonts w:ascii="Times New Roman" w:hAnsi="Times New Roman" w:cs="Times New Roman" w:hint="eastAsia"/>
          <w:sz w:val="22"/>
          <w:szCs w:val="22"/>
        </w:rPr>
        <w:t xml:space="preserve"> spatially</w:t>
      </w:r>
      <w:r>
        <w:rPr>
          <w:rFonts w:ascii="Times New Roman" w:hAnsi="Times New Roman" w:cs="Times New Roman"/>
          <w:sz w:val="22"/>
          <w:szCs w:val="22"/>
        </w:rPr>
        <w:t xml:space="preserve"> oscillate</w:t>
      </w:r>
      <w:r>
        <w:rPr>
          <w:rFonts w:ascii="Times New Roman" w:hAnsi="Times New Roman" w:cs="Times New Roman" w:hint="eastAsia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 w:hint="eastAsia"/>
          <w:sz w:val="22"/>
          <w:szCs w:val="22"/>
        </w:rPr>
        <w:t xml:space="preserve">and the amplitude and sign of the critical current </w:t>
      </w:r>
      <w:r>
        <w:rPr>
          <w:rFonts w:ascii="Times New Roman" w:hAnsi="Times New Roman" w:cs="Times New Roman"/>
          <w:sz w:val="22"/>
          <w:szCs w:val="22"/>
        </w:rPr>
        <w:t>depend on the temperature or thickness of the ferromagnetic layer. Generally, the Josephson critical current through a ferromagnetic interlayer can be represented by the equation</w:t>
      </w:r>
      <w:r>
        <w:rPr>
          <w:rFonts w:ascii="Times New Roman" w:hAnsi="Times New Roman" w:cs="Times New Roman" w:hint="eastAsia"/>
          <w:sz w:val="22"/>
          <w:szCs w:val="22"/>
        </w:rPr>
        <w:t xml:space="preserve"> [</w:t>
      </w:r>
      <w:r w:rsidR="00DD38C9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 w:hint="eastAsia"/>
          <w:sz w:val="22"/>
          <w:szCs w:val="22"/>
        </w:rPr>
        <w:t>]</w:t>
      </w:r>
      <w:r>
        <w:rPr>
          <w:rFonts w:ascii="Times New Roman" w:hAnsi="Times New Roman" w:cs="Times New Roman"/>
          <w:sz w:val="22"/>
          <w:szCs w:val="22"/>
        </w:rPr>
        <w:t>:</w:t>
      </w:r>
    </w:p>
    <w:p w14:paraId="06BAFC0A" w14:textId="77777777" w:rsidR="00E82D60" w:rsidRPr="00DF5DA6" w:rsidRDefault="00E82D60" w:rsidP="00E82D60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E63B358" w14:textId="273D8B9A" w:rsidR="00E82D60" w:rsidRDefault="00E82D60" w:rsidP="00E82D60">
      <w:pPr>
        <w:pStyle w:val="ListParagraph"/>
        <w:ind w:left="0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 w:rsidRPr="001771D6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1771D6">
        <w:rPr>
          <w:rFonts w:ascii="Times New Roman" w:hAnsi="Times New Roman" w:cs="Times New Roman"/>
          <w:sz w:val="22"/>
          <w:szCs w:val="22"/>
          <w:vertAlign w:val="subscript"/>
        </w:rPr>
        <w:t>c</w:t>
      </w:r>
      <w:r w:rsidRPr="001771D6">
        <w:rPr>
          <w:rFonts w:ascii="Times New Roman" w:hAnsi="Times New Roman" w:cs="Times New Roman"/>
          <w:i/>
          <w:iCs/>
          <w:sz w:val="22"/>
          <w:szCs w:val="22"/>
        </w:rPr>
        <w:t>R</w:t>
      </w:r>
      <w:r w:rsidRPr="001771D6">
        <w:rPr>
          <w:rFonts w:ascii="Times New Roman" w:hAnsi="Times New Roman" w:cs="Times New Roman"/>
          <w:sz w:val="22"/>
          <w:szCs w:val="22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= </w:t>
      </w:r>
      <w:proofErr w:type="spellStart"/>
      <w:proofErr w:type="gramStart"/>
      <w:r w:rsidRPr="001771D6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1771D6">
        <w:rPr>
          <w:rFonts w:ascii="Times New Roman" w:hAnsi="Times New Roman" w:cs="Times New Roman"/>
          <w:sz w:val="22"/>
          <w:szCs w:val="22"/>
          <w:vertAlign w:val="subscript"/>
        </w:rPr>
        <w:t>c</w:t>
      </w:r>
      <w:r w:rsidRPr="001771D6">
        <w:rPr>
          <w:rFonts w:ascii="Times New Roman" w:hAnsi="Times New Roman" w:cs="Times New Roman"/>
          <w:i/>
          <w:iCs/>
          <w:sz w:val="22"/>
          <w:szCs w:val="22"/>
        </w:rPr>
        <w:t>R</w:t>
      </w:r>
      <w:r w:rsidRPr="001771D6">
        <w:rPr>
          <w:rFonts w:ascii="Times New Roman" w:hAnsi="Times New Roman" w:cs="Times New Roman"/>
          <w:sz w:val="22"/>
          <w:szCs w:val="22"/>
          <w:vertAlign w:val="subscript"/>
        </w:rPr>
        <w:t>n</w:t>
      </w:r>
      <w:proofErr w:type="spellEnd"/>
      <w:r w:rsidRPr="00243C4B"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0) exp</w:t>
      </w:r>
      <w:r w:rsidR="005C7580">
        <w:rPr>
          <w:rFonts w:ascii="Times New Roman" w:hAnsi="Times New Roman" w:cs="Times New Roman"/>
          <w:sz w:val="22"/>
          <w:szCs w:val="22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-d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F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F1</m:t>
                    </m:r>
                  </m:sub>
                </m:sSub>
              </m:den>
            </m:f>
          </m:e>
        </m:d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2"/>
                <w:szCs w:val="22"/>
              </w:rPr>
              <m:t>sin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F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2"/>
                            <w:szCs w:val="22"/>
                          </w:rPr>
                          <m:t>F2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 xml:space="preserve"> + ϕ</m:t>
                </m:r>
              </m:e>
            </m:d>
          </m:e>
        </m:d>
      </m:oMath>
      <w:r>
        <w:rPr>
          <w:rFonts w:ascii="Times New Roman" w:hAnsi="Times New Roman" w:cs="Times New Roman"/>
          <w:sz w:val="22"/>
          <w:szCs w:val="22"/>
        </w:rPr>
        <w:t xml:space="preserve">,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6F6949">
        <w:rPr>
          <w:rFonts w:ascii="Times New Roman" w:hAnsi="Times New Roman" w:cs="Times New Roman"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>S1</w:t>
      </w:r>
      <w:r w:rsidRPr="006F6949">
        <w:rPr>
          <w:rFonts w:ascii="Times New Roman" w:hAnsi="Times New Roman" w:cs="Times New Roman"/>
          <w:sz w:val="30"/>
          <w:szCs w:val="30"/>
        </w:rPr>
        <w:t>)</w:t>
      </w:r>
    </w:p>
    <w:p w14:paraId="61E41B25" w14:textId="77777777" w:rsidR="00E82D60" w:rsidRDefault="00E82D60" w:rsidP="00E82D60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6F25507" w14:textId="058E570E" w:rsidR="00E82D60" w:rsidRDefault="00E82D60" w:rsidP="00E82D60">
      <w:pPr>
        <w:pStyle w:val="ListParagraph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where </w:t>
      </w:r>
      <w:r w:rsidRPr="000A0AC1">
        <w:rPr>
          <w:rFonts w:ascii="Times New Roman" w:hAnsi="Times New Roman" w:cs="Times New Roman"/>
          <w:i/>
          <w:iCs/>
          <w:sz w:val="22"/>
          <w:szCs w:val="22"/>
        </w:rPr>
        <w:t>R</w:t>
      </w:r>
      <w:r w:rsidRPr="000A0AC1">
        <w:rPr>
          <w:rFonts w:ascii="Times New Roman" w:hAnsi="Times New Roman" w:cs="Times New Roman"/>
          <w:sz w:val="22"/>
          <w:szCs w:val="22"/>
          <w:vertAlign w:val="subscript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 is the normal-state resistance of the junction, </w:t>
      </w:r>
      <w:proofErr w:type="spellStart"/>
      <w:r w:rsidRPr="003C444F"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Pr="003C444F">
        <w:rPr>
          <w:rFonts w:ascii="Times New Roman" w:hAnsi="Times New Roman" w:cs="Times New Roman"/>
          <w:sz w:val="22"/>
          <w:szCs w:val="22"/>
          <w:vertAlign w:val="subscript"/>
        </w:rPr>
        <w:t>F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is the thickness of the ferromagnetic interlayer, </w:t>
      </w:r>
      <w:proofErr w:type="spellStart"/>
      <w:proofErr w:type="gramStart"/>
      <w:r w:rsidRPr="001771D6">
        <w:rPr>
          <w:rFonts w:ascii="Times New Roman" w:hAnsi="Times New Roman" w:cs="Times New Roman"/>
          <w:i/>
          <w:iCs/>
          <w:sz w:val="22"/>
          <w:szCs w:val="22"/>
        </w:rPr>
        <w:t>I</w:t>
      </w:r>
      <w:r w:rsidRPr="001771D6">
        <w:rPr>
          <w:rFonts w:ascii="Times New Roman" w:hAnsi="Times New Roman" w:cs="Times New Roman"/>
          <w:sz w:val="22"/>
          <w:szCs w:val="22"/>
          <w:vertAlign w:val="subscript"/>
        </w:rPr>
        <w:t>c</w:t>
      </w:r>
      <w:r w:rsidRPr="001771D6">
        <w:rPr>
          <w:rFonts w:ascii="Times New Roman" w:hAnsi="Times New Roman" w:cs="Times New Roman"/>
          <w:i/>
          <w:iCs/>
          <w:sz w:val="22"/>
          <w:szCs w:val="22"/>
        </w:rPr>
        <w:t>R</w:t>
      </w:r>
      <w:r w:rsidRPr="001771D6">
        <w:rPr>
          <w:rFonts w:ascii="Times New Roman" w:hAnsi="Times New Roman" w:cs="Times New Roman"/>
          <w:sz w:val="22"/>
          <w:szCs w:val="22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2"/>
          <w:szCs w:val="22"/>
        </w:rPr>
        <w:t>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0) is a fictitious fitting parameter, </w:t>
      </w:r>
      <w:r w:rsidRPr="003C444F">
        <w:rPr>
          <w:rFonts w:ascii="Times New Roman" w:hAnsi="Times New Roman" w:cs="Times New Roman"/>
          <w:i/>
          <w:iCs/>
          <w:sz w:val="22"/>
          <w:szCs w:val="22"/>
        </w:rPr>
        <w:t>ξ</w:t>
      </w:r>
      <w:r w:rsidRPr="003C444F"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>F1</w:t>
      </w:r>
      <w:r>
        <w:rPr>
          <w:rFonts w:ascii="Times New Roman" w:hAnsi="Times New Roman" w:cs="Times New Roman"/>
          <w:sz w:val="22"/>
          <w:szCs w:val="22"/>
        </w:rPr>
        <w:t xml:space="preserve"> and </w:t>
      </w:r>
      <w:r w:rsidRPr="003C444F">
        <w:rPr>
          <w:rFonts w:ascii="Times New Roman" w:hAnsi="Times New Roman" w:cs="Times New Roman"/>
          <w:i/>
          <w:iCs/>
          <w:sz w:val="22"/>
          <w:szCs w:val="22"/>
        </w:rPr>
        <w:t>ξ</w:t>
      </w:r>
      <w:r w:rsidRPr="003C444F"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>F</w:t>
      </w:r>
      <w:r>
        <w:rPr>
          <w:rFonts w:ascii="Times New Roman" w:hAnsi="Times New Roman" w:cs="Times New Roman"/>
          <w:i/>
          <w:iCs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 are the decay length and the oscillation length, respectively. Within a certain </w:t>
      </w:r>
      <w:proofErr w:type="gramStart"/>
      <w:r>
        <w:rPr>
          <w:rFonts w:ascii="Times New Roman" w:hAnsi="Times New Roman" w:cs="Times New Roman"/>
          <w:sz w:val="22"/>
          <w:szCs w:val="22"/>
        </w:rPr>
        <w:t>thickness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range of the ferromagnetic interlayer, the critical current might have a negative sign, and the phase difference between two superconducting electrodes becomes π in the ground state (π-junctions). These thicknesses were reported to be between</w:t>
      </w:r>
      <w:r w:rsidR="0041525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8-20 nm for the Pd</w:t>
      </w:r>
      <w:r w:rsidRPr="001E0DE7">
        <w:rPr>
          <w:rFonts w:ascii="Times New Roman" w:hAnsi="Times New Roman" w:cs="Times New Roman"/>
          <w:sz w:val="22"/>
          <w:szCs w:val="22"/>
          <w:vertAlign w:val="subscript"/>
        </w:rPr>
        <w:t>89</w:t>
      </w:r>
      <w:r>
        <w:rPr>
          <w:rFonts w:ascii="Times New Roman" w:hAnsi="Times New Roman" w:cs="Times New Roman"/>
          <w:sz w:val="22"/>
          <w:szCs w:val="22"/>
        </w:rPr>
        <w:t>Ni</w:t>
      </w:r>
      <w:r w:rsidRPr="001E0DE7">
        <w:rPr>
          <w:rFonts w:ascii="Times New Roman" w:hAnsi="Times New Roman" w:cs="Times New Roman"/>
          <w:sz w:val="22"/>
          <w:szCs w:val="22"/>
          <w:vertAlign w:val="subscript"/>
        </w:rPr>
        <w:t>11</w:t>
      </w:r>
      <w:r>
        <w:rPr>
          <w:rFonts w:ascii="Times New Roman" w:hAnsi="Times New Roman" w:cs="Times New Roman"/>
          <w:sz w:val="22"/>
          <w:szCs w:val="22"/>
        </w:rPr>
        <w:t xml:space="preserve"> ferromagnetic interlayer measured at 4.2 K</w:t>
      </w:r>
      <w:r>
        <w:rPr>
          <w:rFonts w:ascii="Times New Roman" w:hAnsi="Times New Roman" w:cs="Times New Roman" w:hint="eastAsia"/>
          <w:sz w:val="22"/>
          <w:szCs w:val="22"/>
        </w:rPr>
        <w:t xml:space="preserve"> [</w:t>
      </w:r>
      <w:r w:rsidR="00DD38C9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]</w:t>
      </w:r>
      <w:r>
        <w:rPr>
          <w:rFonts w:ascii="Times New Roman" w:hAnsi="Times New Roman" w:cs="Times New Roman"/>
          <w:sz w:val="22"/>
          <w:szCs w:val="22"/>
        </w:rPr>
        <w:t xml:space="preserve">. The demonstration of π-state in 15 nm-thick </w:t>
      </w:r>
      <w:proofErr w:type="spellStart"/>
      <w:r>
        <w:rPr>
          <w:rFonts w:ascii="Times New Roman" w:hAnsi="Times New Roman" w:cs="Times New Roman"/>
          <w:sz w:val="22"/>
          <w:szCs w:val="22"/>
        </w:rPr>
        <w:t>PdNi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junctions at 4.2 K has been shown in our previous study </w:t>
      </w:r>
      <w:r>
        <w:rPr>
          <w:rFonts w:ascii="Times New Roman" w:hAnsi="Times New Roman" w:cs="Times New Roman" w:hint="eastAsia"/>
          <w:sz w:val="22"/>
          <w:szCs w:val="22"/>
        </w:rPr>
        <w:t>[</w:t>
      </w:r>
      <w:r w:rsidR="0018011D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 w:hint="eastAsia"/>
          <w:sz w:val="22"/>
          <w:szCs w:val="22"/>
        </w:rPr>
        <w:t>]</w:t>
      </w:r>
      <w:r>
        <w:rPr>
          <w:rFonts w:ascii="Times New Roman" w:hAnsi="Times New Roman" w:cs="Times New Roman"/>
          <w:sz w:val="22"/>
          <w:szCs w:val="22"/>
        </w:rPr>
        <w:t xml:space="preserve">. To ensure that junctions also exhibit the π-state at 15 </w:t>
      </w:r>
      <w:proofErr w:type="spellStart"/>
      <w:r>
        <w:rPr>
          <w:rFonts w:ascii="Times New Roman" w:hAnsi="Times New Roman" w:cs="Times New Roman"/>
          <w:sz w:val="22"/>
          <w:szCs w:val="22"/>
        </w:rPr>
        <w:t>mK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we measured the magnetic-dependent critical current of a DC-SQUID with the addition of an SFS junction into the </w:t>
      </w:r>
      <w:r>
        <w:rPr>
          <w:rFonts w:ascii="Times New Roman" w:hAnsi="Times New Roman" w:cs="Times New Roman"/>
          <w:sz w:val="22"/>
          <w:szCs w:val="22"/>
        </w:rPr>
        <w:lastRenderedPageBreak/>
        <w:t>loop. This SQUID was fabricated on the same wafer as the monolithic chip. The modulation pattern shows a clear π-phase shift, as presented in supplementary figure 3.</w:t>
      </w:r>
    </w:p>
    <w:p w14:paraId="19B4A751" w14:textId="77777777" w:rsidR="00E82D60" w:rsidRDefault="00E82D60" w:rsidP="00E82D60">
      <w:pPr>
        <w:pStyle w:val="ListParagraph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14:paraId="428383A0" w14:textId="77777777" w:rsidR="00E82D60" w:rsidRDefault="00E82D60" w:rsidP="00E82D60">
      <w:pPr>
        <w:pStyle w:val="ListParagraph"/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7A291F0A" wp14:editId="541E8543">
            <wp:extent cx="4222750" cy="2112368"/>
            <wp:effectExtent l="0" t="0" r="6350" b="2540"/>
            <wp:docPr id="1627788771" name="Picture 6" descr="A diagram of a curr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788771" name="Picture 6" descr="A diagram of a curr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644" cy="211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699D" w14:textId="77777777" w:rsidR="00E82D60" w:rsidRDefault="00E82D60" w:rsidP="00E82D60">
      <w:pPr>
        <w:pStyle w:val="NormalWeb"/>
        <w:spacing w:line="278" w:lineRule="auto"/>
        <w:jc w:val="both"/>
        <w:rPr>
          <w:sz w:val="22"/>
          <w:szCs w:val="22"/>
        </w:rPr>
      </w:pPr>
      <w:r w:rsidRPr="00CB0A0F">
        <w:rPr>
          <w:b/>
          <w:bCs/>
          <w:sz w:val="22"/>
          <w:szCs w:val="22"/>
        </w:rPr>
        <w:t xml:space="preserve">Supplementary Figure </w:t>
      </w:r>
      <w:r>
        <w:rPr>
          <w:b/>
          <w:bCs/>
          <w:sz w:val="22"/>
          <w:szCs w:val="22"/>
        </w:rPr>
        <w:t>3</w:t>
      </w:r>
      <w:r w:rsidRPr="00CB0A0F">
        <w:rPr>
          <w:b/>
          <w:bCs/>
          <w:sz w:val="22"/>
          <w:szCs w:val="22"/>
        </w:rPr>
        <w:t>: The</w:t>
      </w:r>
      <w:r>
        <w:rPr>
          <w:b/>
          <w:bCs/>
          <w:sz w:val="22"/>
          <w:szCs w:val="22"/>
        </w:rPr>
        <w:t xml:space="preserve"> magnetic field</w:t>
      </w:r>
      <w:r w:rsidRPr="00CB0A0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dependence of the critical current of a 0-0-π SQUID measured at 15 </w:t>
      </w:r>
      <w:proofErr w:type="spellStart"/>
      <w:r>
        <w:rPr>
          <w:b/>
          <w:bCs/>
          <w:sz w:val="22"/>
          <w:szCs w:val="22"/>
        </w:rPr>
        <w:t>mK.</w:t>
      </w:r>
      <w:proofErr w:type="spellEnd"/>
      <w:r w:rsidRPr="009C4222">
        <w:rPr>
          <w:sz w:val="22"/>
          <w:szCs w:val="22"/>
        </w:rPr>
        <w:t xml:space="preserve"> </w:t>
      </w:r>
      <w:r>
        <w:rPr>
          <w:sz w:val="22"/>
          <w:szCs w:val="22"/>
        </w:rPr>
        <w:t>The SQUID includes two 10 ×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10 μm</w:t>
      </w:r>
      <w:r w:rsidRPr="009C4222">
        <w:rPr>
          <w:sz w:val="22"/>
          <w:szCs w:val="22"/>
          <w:vertAlign w:val="superscript"/>
        </w:rPr>
        <w:t>2</w:t>
      </w:r>
      <w:r w:rsidRPr="009C4222">
        <w:rPr>
          <w:sz w:val="22"/>
          <w:szCs w:val="22"/>
        </w:rPr>
        <w:t xml:space="preserve"> S</w:t>
      </w:r>
      <w:r>
        <w:rPr>
          <w:sz w:val="22"/>
          <w:szCs w:val="22"/>
        </w:rPr>
        <w:t>IS junctions and a 5 ×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sz w:val="22"/>
          <w:szCs w:val="22"/>
        </w:rPr>
        <w:t>5 μm</w:t>
      </w:r>
      <w:r w:rsidRPr="009C422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SFS junction. The modulation pattern indicates that SQUID has a minimum critical current at zero magnetic field and a maximum at half-flux-quantum (</w:t>
      </w:r>
      <w:r w:rsidRPr="00940780">
        <w:rPr>
          <w:i/>
          <w:iCs/>
          <w:sz w:val="22"/>
          <w:szCs w:val="22"/>
        </w:rPr>
        <w:t>Φ</w:t>
      </w:r>
      <w:r w:rsidRPr="007B184F"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/2). This characteristic is in contrast with conventional DC-SQUID, indicating that the SFS junction induced a π-phase shift within the SQUID’s loop.</w:t>
      </w:r>
    </w:p>
    <w:p w14:paraId="5CD62025" w14:textId="68FBF35E" w:rsidR="00CF3E7C" w:rsidRPr="00CB0C63" w:rsidRDefault="00CF3E7C" w:rsidP="00A501BF">
      <w:pPr>
        <w:pStyle w:val="NormalWeb"/>
        <w:spacing w:line="278" w:lineRule="auto"/>
        <w:rPr>
          <w:b/>
          <w:bCs/>
          <w:sz w:val="22"/>
          <w:szCs w:val="22"/>
        </w:rPr>
      </w:pPr>
      <w:r w:rsidRPr="00CB0C63">
        <w:rPr>
          <w:b/>
          <w:bCs/>
          <w:sz w:val="22"/>
          <w:szCs w:val="22"/>
        </w:rPr>
        <w:t>Supplementary References</w:t>
      </w:r>
    </w:p>
    <w:p w14:paraId="3E4A8A8F" w14:textId="77777777" w:rsidR="008B2284" w:rsidRDefault="00E43B20" w:rsidP="00C84ED7">
      <w:pPr>
        <w:pStyle w:val="NormalWeb"/>
        <w:spacing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[1] </w:t>
      </w:r>
      <w:r w:rsidR="00BF3391">
        <w:rPr>
          <w:sz w:val="22"/>
          <w:szCs w:val="22"/>
        </w:rPr>
        <w:t>N</w:t>
      </w:r>
      <w:r w:rsidR="00980DF8">
        <w:rPr>
          <w:sz w:val="22"/>
          <w:szCs w:val="22"/>
        </w:rPr>
        <w:t>.</w:t>
      </w:r>
      <w:r w:rsidR="00BF3391">
        <w:rPr>
          <w:sz w:val="22"/>
          <w:szCs w:val="22"/>
        </w:rPr>
        <w:t xml:space="preserve"> O. Birge and</w:t>
      </w:r>
      <w:r w:rsidR="00980DF8">
        <w:rPr>
          <w:sz w:val="22"/>
          <w:szCs w:val="22"/>
        </w:rPr>
        <w:t xml:space="preserve"> N. Satchell, </w:t>
      </w:r>
      <w:r w:rsidR="005A4AD9">
        <w:rPr>
          <w:sz w:val="22"/>
          <w:szCs w:val="22"/>
        </w:rPr>
        <w:t xml:space="preserve">Ferromagnetic </w:t>
      </w:r>
      <w:r w:rsidR="00CE34FF">
        <w:rPr>
          <w:sz w:val="22"/>
          <w:szCs w:val="22"/>
        </w:rPr>
        <w:t>m</w:t>
      </w:r>
      <w:r w:rsidR="005A4AD9">
        <w:rPr>
          <w:sz w:val="22"/>
          <w:szCs w:val="22"/>
        </w:rPr>
        <w:t xml:space="preserve">aterials for Josephson π </w:t>
      </w:r>
      <w:r w:rsidR="00CE34FF">
        <w:rPr>
          <w:sz w:val="22"/>
          <w:szCs w:val="22"/>
        </w:rPr>
        <w:t>j</w:t>
      </w:r>
      <w:r w:rsidR="005A4AD9">
        <w:rPr>
          <w:sz w:val="22"/>
          <w:szCs w:val="22"/>
        </w:rPr>
        <w:t>unctions</w:t>
      </w:r>
      <w:r w:rsidR="00CE34FF">
        <w:rPr>
          <w:sz w:val="22"/>
          <w:szCs w:val="22"/>
        </w:rPr>
        <w:t>,</w:t>
      </w:r>
      <w:r w:rsidR="00980DF8">
        <w:rPr>
          <w:sz w:val="22"/>
          <w:szCs w:val="22"/>
        </w:rPr>
        <w:t xml:space="preserve"> </w:t>
      </w:r>
      <w:r w:rsidR="00EE5B98">
        <w:rPr>
          <w:sz w:val="22"/>
          <w:szCs w:val="22"/>
        </w:rPr>
        <w:t>APL</w:t>
      </w:r>
      <w:r w:rsidR="008F4A7E">
        <w:rPr>
          <w:sz w:val="22"/>
          <w:szCs w:val="22"/>
        </w:rPr>
        <w:t xml:space="preserve"> Mater. 12, 041105 (2024).</w:t>
      </w:r>
    </w:p>
    <w:p w14:paraId="32B9820C" w14:textId="5239DFCC" w:rsidR="00CF3E7C" w:rsidRPr="00D74F7F" w:rsidRDefault="008B2284" w:rsidP="00C84ED7">
      <w:pPr>
        <w:pStyle w:val="NormalWeb"/>
        <w:spacing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[2] </w:t>
      </w:r>
      <w:r w:rsidR="00F10D60">
        <w:rPr>
          <w:sz w:val="22"/>
          <w:szCs w:val="22"/>
        </w:rPr>
        <w:t>D. Pham, R. Sugimoto</w:t>
      </w:r>
      <w:r w:rsidR="000C5524">
        <w:rPr>
          <w:sz w:val="22"/>
          <w:szCs w:val="22"/>
        </w:rPr>
        <w:t xml:space="preserve">, K. Oba, Y. Takeshita, F. Li, M. Tanaka, </w:t>
      </w:r>
      <w:r w:rsidR="00CB0C63">
        <w:rPr>
          <w:sz w:val="22"/>
          <w:szCs w:val="22"/>
        </w:rPr>
        <w:t>T. Yamashita, and A. Fujiamaki</w:t>
      </w:r>
      <w:r w:rsidR="009A0B3A">
        <w:rPr>
          <w:sz w:val="22"/>
          <w:szCs w:val="22"/>
        </w:rPr>
        <w:t>, Weak spin-flip s</w:t>
      </w:r>
      <w:r w:rsidR="00D74F7F">
        <w:rPr>
          <w:sz w:val="22"/>
          <w:szCs w:val="22"/>
        </w:rPr>
        <w:t>c</w:t>
      </w:r>
      <w:r w:rsidR="009A0B3A">
        <w:rPr>
          <w:sz w:val="22"/>
          <w:szCs w:val="22"/>
        </w:rPr>
        <w:t>attering in Pd</w:t>
      </w:r>
      <w:r w:rsidR="009A0B3A" w:rsidRPr="009A0B3A">
        <w:rPr>
          <w:sz w:val="22"/>
          <w:szCs w:val="22"/>
          <w:vertAlign w:val="subscript"/>
        </w:rPr>
        <w:t>89</w:t>
      </w:r>
      <w:r w:rsidR="009A0B3A">
        <w:rPr>
          <w:sz w:val="22"/>
          <w:szCs w:val="22"/>
        </w:rPr>
        <w:t>Ni</w:t>
      </w:r>
      <w:r w:rsidR="00D74F7F" w:rsidRPr="00D74F7F">
        <w:rPr>
          <w:sz w:val="22"/>
          <w:szCs w:val="22"/>
          <w:vertAlign w:val="subscript"/>
        </w:rPr>
        <w:t>11</w:t>
      </w:r>
      <w:r w:rsidR="00D74F7F">
        <w:rPr>
          <w:sz w:val="22"/>
          <w:szCs w:val="22"/>
        </w:rPr>
        <w:t xml:space="preserve"> interlayer of </w:t>
      </w:r>
      <w:proofErr w:type="spellStart"/>
      <w:r w:rsidR="00D74F7F">
        <w:rPr>
          <w:sz w:val="22"/>
          <w:szCs w:val="22"/>
        </w:rPr>
        <w:t>NbN</w:t>
      </w:r>
      <w:proofErr w:type="spellEnd"/>
      <w:r w:rsidR="00D74F7F">
        <w:rPr>
          <w:sz w:val="22"/>
          <w:szCs w:val="22"/>
        </w:rPr>
        <w:t>-based ferromagnetic Josephson junctions</w:t>
      </w:r>
      <w:r w:rsidR="00233855">
        <w:rPr>
          <w:sz w:val="22"/>
          <w:szCs w:val="22"/>
        </w:rPr>
        <w:t xml:space="preserve">, Sci. Rep. </w:t>
      </w:r>
      <w:r w:rsidR="00F6089F">
        <w:rPr>
          <w:sz w:val="22"/>
          <w:szCs w:val="22"/>
        </w:rPr>
        <w:t>12, 6863</w:t>
      </w:r>
      <w:r w:rsidR="00304718">
        <w:rPr>
          <w:sz w:val="22"/>
          <w:szCs w:val="22"/>
        </w:rPr>
        <w:t>, (2022).</w:t>
      </w:r>
    </w:p>
    <w:p w14:paraId="7CA999BA" w14:textId="77777777" w:rsidR="00E82D60" w:rsidRPr="0030724D" w:rsidRDefault="00E82D60" w:rsidP="00E82D60">
      <w:pPr>
        <w:pStyle w:val="NormalWeb"/>
        <w:spacing w:line="278" w:lineRule="auto"/>
        <w:jc w:val="both"/>
        <w:rPr>
          <w:b/>
          <w:bCs/>
          <w:sz w:val="22"/>
          <w:szCs w:val="22"/>
          <w:vertAlign w:val="subscript"/>
        </w:rPr>
      </w:pPr>
    </w:p>
    <w:p w14:paraId="117B71C7" w14:textId="77777777" w:rsidR="00E82D60" w:rsidRDefault="00E82D60" w:rsidP="00E82D60"/>
    <w:p w14:paraId="3BAABE77" w14:textId="77777777" w:rsidR="00474CA3" w:rsidRDefault="00474CA3"/>
    <w:sectPr w:rsidR="00474CA3" w:rsidSect="00E82D60">
      <w:footerReference w:type="default" r:id="rId10"/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4C3C" w14:textId="77777777" w:rsidR="00A3192E" w:rsidRDefault="00A3192E">
      <w:pPr>
        <w:spacing w:after="0" w:line="240" w:lineRule="auto"/>
      </w:pPr>
      <w:r>
        <w:separator/>
      </w:r>
    </w:p>
  </w:endnote>
  <w:endnote w:type="continuationSeparator" w:id="0">
    <w:p w14:paraId="0C79507F" w14:textId="77777777" w:rsidR="00A3192E" w:rsidRDefault="00A3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595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57AD8E" w14:textId="77777777" w:rsidR="00E82D60" w:rsidRDefault="00E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A9EB11" w14:textId="77777777" w:rsidR="00E82D60" w:rsidRDefault="00E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0B0E" w14:textId="77777777" w:rsidR="00A3192E" w:rsidRDefault="00A3192E">
      <w:pPr>
        <w:spacing w:after="0" w:line="240" w:lineRule="auto"/>
      </w:pPr>
      <w:r>
        <w:separator/>
      </w:r>
    </w:p>
  </w:footnote>
  <w:footnote w:type="continuationSeparator" w:id="0">
    <w:p w14:paraId="0DB09934" w14:textId="77777777" w:rsidR="00A3192E" w:rsidRDefault="00A31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60"/>
    <w:rsid w:val="000047A6"/>
    <w:rsid w:val="00056A5D"/>
    <w:rsid w:val="000C5524"/>
    <w:rsid w:val="000F6F06"/>
    <w:rsid w:val="00100D7A"/>
    <w:rsid w:val="001513EA"/>
    <w:rsid w:val="0018011D"/>
    <w:rsid w:val="001951E7"/>
    <w:rsid w:val="00233855"/>
    <w:rsid w:val="00246410"/>
    <w:rsid w:val="002875DD"/>
    <w:rsid w:val="00304718"/>
    <w:rsid w:val="00305D7F"/>
    <w:rsid w:val="0041525F"/>
    <w:rsid w:val="00474CA3"/>
    <w:rsid w:val="00496340"/>
    <w:rsid w:val="004D304D"/>
    <w:rsid w:val="00574E20"/>
    <w:rsid w:val="0058569F"/>
    <w:rsid w:val="005A4AD9"/>
    <w:rsid w:val="005C7580"/>
    <w:rsid w:val="005E430E"/>
    <w:rsid w:val="00651087"/>
    <w:rsid w:val="006755C1"/>
    <w:rsid w:val="006F6949"/>
    <w:rsid w:val="0074056C"/>
    <w:rsid w:val="007B4145"/>
    <w:rsid w:val="00804C0D"/>
    <w:rsid w:val="00817FB2"/>
    <w:rsid w:val="008B2284"/>
    <w:rsid w:val="008E55CB"/>
    <w:rsid w:val="008F4A7E"/>
    <w:rsid w:val="00901AFD"/>
    <w:rsid w:val="00926EBD"/>
    <w:rsid w:val="00940780"/>
    <w:rsid w:val="00980DF8"/>
    <w:rsid w:val="009A0B3A"/>
    <w:rsid w:val="00A3192E"/>
    <w:rsid w:val="00A501BF"/>
    <w:rsid w:val="00BF3391"/>
    <w:rsid w:val="00C84ED7"/>
    <w:rsid w:val="00C9690B"/>
    <w:rsid w:val="00CB0C63"/>
    <w:rsid w:val="00CE34FF"/>
    <w:rsid w:val="00CF3E7C"/>
    <w:rsid w:val="00D30FCD"/>
    <w:rsid w:val="00D74F7F"/>
    <w:rsid w:val="00D80DFF"/>
    <w:rsid w:val="00D8182E"/>
    <w:rsid w:val="00DD38C9"/>
    <w:rsid w:val="00DE60EA"/>
    <w:rsid w:val="00E43B20"/>
    <w:rsid w:val="00E82D60"/>
    <w:rsid w:val="00EE5B98"/>
    <w:rsid w:val="00F10D60"/>
    <w:rsid w:val="00F6089F"/>
    <w:rsid w:val="00F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CF3A8"/>
  <w15:chartTrackingRefBased/>
  <w15:docId w15:val="{BA4A2182-700F-4529-9C8B-4B0AA069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D6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2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8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82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D60"/>
    <w:pPr>
      <w:spacing w:before="160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82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D60"/>
    <w:pPr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E82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D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82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2D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D60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2D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82D60"/>
  </w:style>
  <w:style w:type="character" w:customStyle="1" w:styleId="CommentTextChar">
    <w:name w:val="Comment Text Char"/>
    <w:basedOn w:val="DefaultParagraphFont"/>
    <w:link w:val="CommentText"/>
    <w:uiPriority w:val="99"/>
    <w:rsid w:val="00E82D6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2875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3863</TotalTime>
  <Pages>4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Duong</dc:creator>
  <cp:keywords/>
  <dc:description/>
  <cp:lastModifiedBy>Pham Duong</cp:lastModifiedBy>
  <cp:revision>94</cp:revision>
  <dcterms:created xsi:type="dcterms:W3CDTF">2026-02-27T09:02:00Z</dcterms:created>
  <dcterms:modified xsi:type="dcterms:W3CDTF">2026-03-02T01:34:00Z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651a7dea-a531-4b84-a2fa-3b28699a97f6</vt:lpwstr>
  </property>
</Properties>
</file>