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3EA55" w14:textId="77777777" w:rsidR="00521178" w:rsidRPr="00F71EA1" w:rsidRDefault="00521178" w:rsidP="00521178">
      <w:pPr>
        <w:spacing w:line="480" w:lineRule="auto"/>
        <w:jc w:val="both"/>
        <w:rPr>
          <w:rFonts w:ascii="Arial" w:hAnsi="Arial" w:cs="Arial"/>
          <w:b/>
          <w:u w:val="single"/>
        </w:rPr>
      </w:pPr>
      <w:r w:rsidRPr="00F71EA1">
        <w:rPr>
          <w:rFonts w:ascii="Arial" w:hAnsi="Arial" w:cs="Arial"/>
          <w:b/>
          <w:u w:val="single"/>
        </w:rPr>
        <w:t xml:space="preserve">Supplementary Figures (S1-S7): </w:t>
      </w:r>
    </w:p>
    <w:p w14:paraId="4F818CA7" w14:textId="77777777" w:rsidR="00521178" w:rsidRPr="00F71EA1" w:rsidRDefault="00521178" w:rsidP="00521178">
      <w:pPr>
        <w:spacing w:line="480" w:lineRule="auto"/>
        <w:jc w:val="both"/>
        <w:rPr>
          <w:rFonts w:ascii="Arial" w:hAnsi="Arial" w:cs="Arial"/>
          <w:b/>
        </w:rPr>
      </w:pPr>
      <w:r w:rsidRPr="00F71EA1">
        <w:rPr>
          <w:rFonts w:ascii="Arial" w:hAnsi="Arial" w:cs="Arial"/>
          <w:b/>
        </w:rPr>
        <w:t xml:space="preserve">Supplementary Figure 1 | Gene Expression profiling provides a unique tool to identify two heterogeneous INR subject groups. </w:t>
      </w:r>
      <w:proofErr w:type="gramStart"/>
      <w:r w:rsidRPr="00F71EA1">
        <w:rPr>
          <w:rFonts w:ascii="Arial" w:hAnsi="Arial" w:cs="Arial"/>
          <w:b/>
        </w:rPr>
        <w:t>a</w:t>
      </w:r>
      <w:r w:rsidRPr="00F71EA1">
        <w:rPr>
          <w:rFonts w:ascii="Arial" w:hAnsi="Arial" w:cs="Arial"/>
        </w:rPr>
        <w:t>,</w:t>
      </w:r>
      <w:proofErr w:type="gramEnd"/>
      <w:r w:rsidRPr="00F71EA1">
        <w:rPr>
          <w:rFonts w:ascii="Arial" w:hAnsi="Arial" w:cs="Arial"/>
        </w:rPr>
        <w:t xml:space="preserve"> Flow chart illustrating the steps in the multi–omics data analyses and integration utilized across two independent cohorts of HIV-infected ART-treated subjects. </w:t>
      </w:r>
      <w:r w:rsidRPr="00F71EA1">
        <w:rPr>
          <w:rFonts w:ascii="Arial" w:hAnsi="Arial" w:cs="Arial"/>
          <w:b/>
        </w:rPr>
        <w:t>b</w:t>
      </w:r>
      <w:r w:rsidRPr="00F71EA1">
        <w:rPr>
          <w:rFonts w:ascii="Arial" w:hAnsi="Arial" w:cs="Arial"/>
        </w:rPr>
        <w:t>, INR groups remain relatively stable over time and show slow CD4 T cell reconstitution. Plot represents absolute CD4 counts over 3 years for all samples in each group. X-axis represents the draw date (in years</w:t>
      </w:r>
      <w:proofErr w:type="gramStart"/>
      <w:r w:rsidRPr="00F71EA1">
        <w:rPr>
          <w:rFonts w:ascii="Arial" w:hAnsi="Arial" w:cs="Arial"/>
        </w:rPr>
        <w:t>)</w:t>
      </w:r>
      <w:proofErr w:type="gramEnd"/>
      <w:r w:rsidRPr="00F71EA1">
        <w:rPr>
          <w:rFonts w:ascii="Arial" w:hAnsi="Arial" w:cs="Arial"/>
        </w:rPr>
        <w:t xml:space="preserve"> and y-axis represents the absolute CD4 count in cells/mm3. Red = INR-A, Blue =INR-B, Grey= IR. The fitted lines represent the rate of CD4 reconstitution over time (y=mx + b). </w:t>
      </w:r>
      <w:r w:rsidRPr="00F71EA1">
        <w:rPr>
          <w:rFonts w:ascii="Arial" w:hAnsi="Arial" w:cs="Arial"/>
          <w:b/>
        </w:rPr>
        <w:t>c</w:t>
      </w:r>
      <w:r w:rsidRPr="00F71EA1">
        <w:rPr>
          <w:rFonts w:ascii="Arial" w:hAnsi="Arial" w:cs="Arial"/>
        </w:rPr>
        <w:t>, Unsupervised analysis of gene expression data identifies three groups of HIV subjects treated with ART (IR, INR-</w:t>
      </w:r>
      <w:proofErr w:type="gramStart"/>
      <w:r w:rsidRPr="00F71EA1">
        <w:rPr>
          <w:rFonts w:ascii="Arial" w:hAnsi="Arial" w:cs="Arial"/>
        </w:rPr>
        <w:t>A</w:t>
      </w:r>
      <w:proofErr w:type="gramEnd"/>
      <w:r w:rsidRPr="00F71EA1">
        <w:rPr>
          <w:rFonts w:ascii="Arial" w:hAnsi="Arial" w:cs="Arial"/>
        </w:rPr>
        <w:t xml:space="preserve"> and INR-B) in the CLIF cohort. Gap Statistics revealed n=2 optimal INR clusters (bootstrap n = 500, p= 0.00293). Heatmap shows the expression of the top 200 genes that distinguish the 3 groups. Hierarchical clustering (Euclidian distance, complete linkage) was used to re-group samples with similar expression of the top 200 varying genes. Gene Expression is represented as a gene-wise standardized expression (Z-score). </w:t>
      </w:r>
      <w:r w:rsidRPr="00F71EA1">
        <w:rPr>
          <w:rFonts w:ascii="Arial" w:hAnsi="Arial" w:cs="Arial"/>
          <w:b/>
        </w:rPr>
        <w:t>d-p</w:t>
      </w:r>
      <w:r w:rsidRPr="00F71EA1">
        <w:rPr>
          <w:rFonts w:ascii="Arial" w:hAnsi="Arial" w:cs="Arial"/>
        </w:rPr>
        <w:t xml:space="preserve">, several parameters associated with poor immune reconstitution in ART- treated subjects </w:t>
      </w:r>
      <w:proofErr w:type="gramStart"/>
      <w:r w:rsidRPr="00F71EA1">
        <w:rPr>
          <w:rFonts w:ascii="Arial" w:hAnsi="Arial" w:cs="Arial"/>
        </w:rPr>
        <w:t>including:</w:t>
      </w:r>
      <w:proofErr w:type="gramEnd"/>
      <w:r w:rsidRPr="00F71EA1">
        <w:rPr>
          <w:rFonts w:ascii="Arial" w:hAnsi="Arial" w:cs="Arial"/>
        </w:rPr>
        <w:t xml:space="preserve"> Duration of ART treatment (d), Age (e), CD4 Nadir (f) and CD4 counts at draw (g), Levels of D-dimer (h), Levels of IL6 (</w:t>
      </w:r>
      <w:proofErr w:type="spellStart"/>
      <w:r w:rsidRPr="00F71EA1">
        <w:rPr>
          <w:rFonts w:ascii="Arial" w:hAnsi="Arial" w:cs="Arial"/>
        </w:rPr>
        <w:t>i</w:t>
      </w:r>
      <w:proofErr w:type="spellEnd"/>
      <w:r w:rsidRPr="00F71EA1">
        <w:rPr>
          <w:rFonts w:ascii="Arial" w:hAnsi="Arial" w:cs="Arial"/>
        </w:rPr>
        <w:t>), IP10 (j), IFABP (k), LPS (l), sCD14 (m) were assessed for their ability to distinguish the two groups of ART-treated subjects. A Welch t-test was used to assess significance. INR-As and INR-Bs could not be distinguished for CD4 numbers and age (n), CD4 Nadir (o), or Years on ART (p). A Spearman correlation was used to assess significance for all correlations.</w:t>
      </w:r>
    </w:p>
    <w:p w14:paraId="37FDD156" w14:textId="77777777" w:rsidR="00521178" w:rsidRPr="00F71EA1" w:rsidRDefault="00521178" w:rsidP="00521178">
      <w:pPr>
        <w:spacing w:line="480" w:lineRule="auto"/>
        <w:jc w:val="both"/>
        <w:rPr>
          <w:rFonts w:ascii="Arial" w:hAnsi="Arial" w:cs="Arial"/>
        </w:rPr>
      </w:pPr>
    </w:p>
    <w:p w14:paraId="1F54B4F3" w14:textId="77777777" w:rsidR="00521178" w:rsidRPr="00F71EA1" w:rsidRDefault="00521178" w:rsidP="00521178">
      <w:pPr>
        <w:spacing w:line="480" w:lineRule="auto"/>
        <w:jc w:val="both"/>
        <w:rPr>
          <w:rFonts w:ascii="Arial" w:hAnsi="Arial" w:cs="Arial"/>
        </w:rPr>
      </w:pPr>
      <w:r w:rsidRPr="00F71EA1">
        <w:rPr>
          <w:rFonts w:ascii="Arial" w:hAnsi="Arial" w:cs="Arial"/>
          <w:b/>
        </w:rPr>
        <w:t xml:space="preserve">Supplementary Figure 2 | Diminished global transcriptional activity within INR-A </w:t>
      </w:r>
      <w:proofErr w:type="gramStart"/>
      <w:r w:rsidRPr="00F71EA1">
        <w:rPr>
          <w:rFonts w:ascii="Arial" w:hAnsi="Arial" w:cs="Arial"/>
          <w:b/>
        </w:rPr>
        <w:t>subjects</w:t>
      </w:r>
      <w:proofErr w:type="gramEnd"/>
      <w:r w:rsidRPr="00F71EA1">
        <w:rPr>
          <w:rFonts w:ascii="Arial" w:hAnsi="Arial" w:cs="Arial"/>
          <w:b/>
        </w:rPr>
        <w:t xml:space="preserve"> maps to down-regulation of T-cell, </w:t>
      </w:r>
      <w:proofErr w:type="spellStart"/>
      <w:r w:rsidRPr="00F71EA1">
        <w:rPr>
          <w:rFonts w:ascii="Arial" w:hAnsi="Arial" w:cs="Arial"/>
          <w:b/>
        </w:rPr>
        <w:t>mDC</w:t>
      </w:r>
      <w:proofErr w:type="spellEnd"/>
      <w:r w:rsidRPr="00F71EA1">
        <w:rPr>
          <w:rFonts w:ascii="Arial" w:hAnsi="Arial" w:cs="Arial"/>
          <w:b/>
        </w:rPr>
        <w:t xml:space="preserve"> and monocyte subset specific gene signatures and lack of effector CD8 function.</w:t>
      </w:r>
      <w:r w:rsidRPr="00F71EA1">
        <w:rPr>
          <w:rFonts w:ascii="Arial" w:hAnsi="Arial" w:cs="Arial"/>
        </w:rPr>
        <w:t xml:space="preserve"> </w:t>
      </w:r>
      <w:proofErr w:type="gramStart"/>
      <w:r w:rsidRPr="00F71EA1">
        <w:rPr>
          <w:rFonts w:ascii="Arial" w:hAnsi="Arial" w:cs="Arial"/>
          <w:b/>
        </w:rPr>
        <w:t>a</w:t>
      </w:r>
      <w:r w:rsidRPr="00F71EA1">
        <w:rPr>
          <w:rFonts w:ascii="Arial" w:hAnsi="Arial" w:cs="Arial"/>
        </w:rPr>
        <w:t>,</w:t>
      </w:r>
      <w:proofErr w:type="gramEnd"/>
      <w:r w:rsidRPr="00F71EA1">
        <w:rPr>
          <w:rFonts w:ascii="Arial" w:hAnsi="Arial" w:cs="Arial"/>
        </w:rPr>
        <w:t xml:space="preserve"> Pie charts illustrating the majority of the transcriptional signal (~70%) specific to Senescent-INR subjects is due to down-regulation of genes. </w:t>
      </w:r>
      <w:proofErr w:type="gramStart"/>
      <w:r w:rsidRPr="00F71EA1">
        <w:rPr>
          <w:rFonts w:ascii="Arial" w:hAnsi="Arial" w:cs="Arial"/>
        </w:rPr>
        <w:t>The majority of</w:t>
      </w:r>
      <w:proofErr w:type="gramEnd"/>
      <w:r w:rsidRPr="00F71EA1">
        <w:rPr>
          <w:rFonts w:ascii="Arial" w:hAnsi="Arial" w:cs="Arial"/>
        </w:rPr>
        <w:t xml:space="preserve"> genes differentially expressed between INR-As and IRs (left) or INR-As and INR-Bs (right) are down-regulated (details of DEGs are in Table S3-S5). </w:t>
      </w:r>
      <w:r w:rsidRPr="00F71EA1">
        <w:rPr>
          <w:rFonts w:ascii="Arial" w:hAnsi="Arial" w:cs="Arial"/>
          <w:b/>
        </w:rPr>
        <w:t>b</w:t>
      </w:r>
      <w:r w:rsidRPr="00F71EA1">
        <w:rPr>
          <w:rFonts w:ascii="Arial" w:hAnsi="Arial" w:cs="Arial"/>
        </w:rPr>
        <w:t xml:space="preserve">, Networks highlighting the genes and functional annotations of T-cell, MDC, and Monocyte specific gene expression signatures down-regulated in INR-A subjects. GSEA (p&lt;0.05) were used to assess significance of the </w:t>
      </w:r>
      <w:proofErr w:type="gramStart"/>
      <w:r w:rsidRPr="00F71EA1">
        <w:rPr>
          <w:rFonts w:ascii="Arial" w:hAnsi="Arial" w:cs="Arial"/>
        </w:rPr>
        <w:t>down-regulation</w:t>
      </w:r>
      <w:proofErr w:type="gramEnd"/>
      <w:r w:rsidRPr="00F71EA1">
        <w:rPr>
          <w:rFonts w:ascii="Arial" w:hAnsi="Arial" w:cs="Arial"/>
        </w:rPr>
        <w:t xml:space="preserve"> of subset gene-sets, Gene Ontology (GO) was used to infer the biological function (over-representation test p&lt;0.05) and Gene Mania was used to plot co-expression networks. </w:t>
      </w:r>
      <w:r w:rsidRPr="00F71EA1">
        <w:rPr>
          <w:rFonts w:ascii="Arial" w:hAnsi="Arial" w:cs="Arial"/>
          <w:b/>
        </w:rPr>
        <w:t>c</w:t>
      </w:r>
      <w:r w:rsidRPr="00F71EA1">
        <w:rPr>
          <w:rFonts w:ascii="Arial" w:hAnsi="Arial" w:cs="Arial"/>
        </w:rPr>
        <w:t>, Volcano Plots illustrating the top Transcription Factors (TFs, squares) up- and down-regulated in INR-A vs IR (top panel) and INR-A vs INR-B (bottom panel) subjects. X-axis represents the log</w:t>
      </w:r>
      <w:r w:rsidRPr="00F71EA1">
        <w:rPr>
          <w:rFonts w:ascii="Arial" w:hAnsi="Arial" w:cs="Arial"/>
          <w:vertAlign w:val="subscript"/>
        </w:rPr>
        <w:t>10</w:t>
      </w:r>
      <w:r w:rsidRPr="00F71EA1">
        <w:rPr>
          <w:rFonts w:ascii="Arial" w:hAnsi="Arial" w:cs="Arial"/>
        </w:rPr>
        <w:t>FC of TF expression, and Y-axis represents the –log</w:t>
      </w:r>
      <w:r w:rsidRPr="00F71EA1">
        <w:rPr>
          <w:rFonts w:ascii="Arial" w:hAnsi="Arial" w:cs="Arial"/>
          <w:vertAlign w:val="subscript"/>
        </w:rPr>
        <w:t>10</w:t>
      </w:r>
      <w:r w:rsidRPr="00F71EA1">
        <w:rPr>
          <w:rFonts w:ascii="Arial" w:hAnsi="Arial" w:cs="Arial"/>
        </w:rPr>
        <w:t xml:space="preserve">(p-value); dotted lines highlight the p-value ≤ 0.05 cutoff. Top TFs up-regulated in INR-As are colored in red, whereas TFs specific to IRs or INR-Bs are colored in grey or blue respectively (See Table S9 for details). </w:t>
      </w:r>
      <w:r w:rsidRPr="00F71EA1">
        <w:rPr>
          <w:rFonts w:ascii="Arial" w:hAnsi="Arial" w:cs="Arial"/>
          <w:b/>
        </w:rPr>
        <w:t>d,</w:t>
      </w:r>
      <w:r w:rsidRPr="00F71EA1">
        <w:rPr>
          <w:rFonts w:ascii="Arial" w:hAnsi="Arial" w:cs="Arial"/>
        </w:rPr>
        <w:t xml:space="preserve"> A functional network of the core TFs (diamonds) and their target genes (circles) up-regulated in INR-A subjects (red, left portion) or INR-Bs (blue, left portion). Network Inference and </w:t>
      </w:r>
      <w:proofErr w:type="spellStart"/>
      <w:r w:rsidRPr="00F71EA1">
        <w:rPr>
          <w:rFonts w:ascii="Arial" w:hAnsi="Arial" w:cs="Arial"/>
        </w:rPr>
        <w:t>Cytoscape</w:t>
      </w:r>
      <w:proofErr w:type="spellEnd"/>
      <w:r w:rsidRPr="00F71EA1">
        <w:rPr>
          <w:rFonts w:ascii="Arial" w:hAnsi="Arial" w:cs="Arial"/>
        </w:rPr>
        <w:t xml:space="preserve"> were used to plot the network. </w:t>
      </w:r>
      <w:proofErr w:type="spellStart"/>
      <w:r w:rsidRPr="00F71EA1">
        <w:rPr>
          <w:rFonts w:ascii="Arial" w:hAnsi="Arial" w:cs="Arial"/>
        </w:rPr>
        <w:t>Reactome</w:t>
      </w:r>
      <w:proofErr w:type="spellEnd"/>
      <w:r w:rsidRPr="00F71EA1">
        <w:rPr>
          <w:rFonts w:ascii="Arial" w:hAnsi="Arial" w:cs="Arial"/>
        </w:rPr>
        <w:t xml:space="preserve"> and GO terms were used to annotate the biological functions of the top downstream targets of the TFs up-regulated in INR-A subjects. As indicated in the figure, </w:t>
      </w:r>
      <w:r w:rsidRPr="00F71EA1">
        <w:rPr>
          <w:rFonts w:ascii="Arial" w:hAnsi="Arial" w:cs="Arial"/>
        </w:rPr>
        <w:lastRenderedPageBreak/>
        <w:t xml:space="preserve">the node color represents log2 fold change in expression between the two INR classes. Edges within the network depict a link between a TF and its targets. </w:t>
      </w:r>
    </w:p>
    <w:p w14:paraId="0FAE868D" w14:textId="77777777" w:rsidR="00521178" w:rsidRPr="00F71EA1" w:rsidRDefault="00521178" w:rsidP="00521178">
      <w:pPr>
        <w:spacing w:line="480" w:lineRule="auto"/>
        <w:jc w:val="both"/>
        <w:rPr>
          <w:rFonts w:ascii="Arial" w:hAnsi="Arial" w:cs="Arial"/>
          <w:b/>
        </w:rPr>
      </w:pPr>
    </w:p>
    <w:p w14:paraId="356C9282" w14:textId="77777777" w:rsidR="00521178" w:rsidRPr="00F71EA1" w:rsidRDefault="00521178" w:rsidP="00521178">
      <w:pPr>
        <w:spacing w:line="480" w:lineRule="auto"/>
        <w:jc w:val="both"/>
        <w:rPr>
          <w:rFonts w:ascii="Arial" w:hAnsi="Arial" w:cs="Arial"/>
          <w:b/>
        </w:rPr>
      </w:pPr>
      <w:r w:rsidRPr="00F71EA1">
        <w:rPr>
          <w:rFonts w:ascii="Arial" w:hAnsi="Arial" w:cs="Arial"/>
          <w:b/>
        </w:rPr>
        <w:t>Supplementary Figure 3 | Construction and Validation of the gene-based classifier. a</w:t>
      </w:r>
      <w:r w:rsidRPr="00F71EA1">
        <w:rPr>
          <w:rFonts w:ascii="Arial" w:hAnsi="Arial" w:cs="Arial"/>
        </w:rPr>
        <w:t xml:space="preserve">, Heatmap representation of the expression of the top 200 varying </w:t>
      </w:r>
      <w:proofErr w:type="spellStart"/>
      <w:r w:rsidRPr="00F71EA1">
        <w:rPr>
          <w:rFonts w:ascii="Arial" w:hAnsi="Arial" w:cs="Arial"/>
        </w:rPr>
        <w:t>probesets</w:t>
      </w:r>
      <w:proofErr w:type="spellEnd"/>
      <w:r w:rsidRPr="00F71EA1">
        <w:rPr>
          <w:rFonts w:ascii="Arial" w:hAnsi="Arial" w:cs="Arial"/>
        </w:rPr>
        <w:t xml:space="preserve"> in the SCOPE cohort. The expression intensities are represented using green-black-red color scale. Rows correspond to </w:t>
      </w:r>
      <w:proofErr w:type="spellStart"/>
      <w:proofErr w:type="gramStart"/>
      <w:r w:rsidRPr="00F71EA1">
        <w:rPr>
          <w:rFonts w:ascii="Arial" w:hAnsi="Arial" w:cs="Arial"/>
        </w:rPr>
        <w:t>probesets</w:t>
      </w:r>
      <w:proofErr w:type="spellEnd"/>
      <w:proofErr w:type="gramEnd"/>
      <w:r w:rsidRPr="00F71EA1">
        <w:rPr>
          <w:rFonts w:ascii="Arial" w:hAnsi="Arial" w:cs="Arial"/>
        </w:rPr>
        <w:t xml:space="preserve"> and columns correspond to the profiled samples. Hierarchical clustering based on a complete linkage was used to regroup samples with similar gene-expression profiles. Two clusters of INRs (depicted in red and blue on the dendrogram) were identified using the unsupervised clustering. </w:t>
      </w:r>
      <w:r w:rsidRPr="00F71EA1">
        <w:rPr>
          <w:rFonts w:ascii="Arial" w:hAnsi="Arial" w:cs="Arial"/>
          <w:b/>
        </w:rPr>
        <w:t>b</w:t>
      </w:r>
      <w:r w:rsidRPr="00F71EA1">
        <w:rPr>
          <w:rFonts w:ascii="Arial" w:hAnsi="Arial" w:cs="Arial"/>
        </w:rPr>
        <w:t xml:space="preserve">, Multidimensional scaling (MDS) plot highlights the overall transcriptomic variation within the SCOPE validation cohort. </w:t>
      </w:r>
    </w:p>
    <w:p w14:paraId="213D636A" w14:textId="77777777" w:rsidR="00521178" w:rsidRPr="00F71EA1" w:rsidRDefault="00521178" w:rsidP="00521178">
      <w:pPr>
        <w:spacing w:line="480" w:lineRule="auto"/>
        <w:jc w:val="both"/>
        <w:rPr>
          <w:rFonts w:ascii="Arial" w:hAnsi="Arial" w:cs="Arial"/>
        </w:rPr>
      </w:pPr>
    </w:p>
    <w:p w14:paraId="4B1B9959" w14:textId="77777777" w:rsidR="00521178" w:rsidRPr="00F71EA1" w:rsidRDefault="00521178" w:rsidP="00521178">
      <w:pPr>
        <w:spacing w:line="480" w:lineRule="auto"/>
        <w:jc w:val="both"/>
        <w:rPr>
          <w:rFonts w:ascii="Arial" w:hAnsi="Arial" w:cs="Arial"/>
          <w:b/>
        </w:rPr>
      </w:pPr>
      <w:r w:rsidRPr="00F71EA1">
        <w:rPr>
          <w:rFonts w:ascii="Arial" w:hAnsi="Arial" w:cs="Arial"/>
          <w:b/>
        </w:rPr>
        <w:t>Supplementary Figure 4 | Identification of a specific Senescent Cytokine Cluster. a</w:t>
      </w:r>
      <w:r w:rsidRPr="00F71EA1">
        <w:rPr>
          <w:rFonts w:ascii="Arial" w:hAnsi="Arial" w:cs="Arial"/>
        </w:rPr>
        <w:t>, K-means clustering and the GAP statistic technique</w:t>
      </w:r>
      <w:r w:rsidRPr="00F71EA1">
        <w:rPr>
          <w:rFonts w:ascii="Arial" w:hAnsi="Arial" w:cs="Arial"/>
        </w:rPr>
        <w:fldChar w:fldCharType="begin"/>
      </w:r>
      <w:r w:rsidRPr="00F71EA1">
        <w:rPr>
          <w:rFonts w:ascii="Arial" w:hAnsi="Arial" w:cs="Arial"/>
        </w:rPr>
        <w:instrText xml:space="preserve"> ADDIN EN.CITE &lt;EndNote&gt;&lt;Cite&gt;&lt;Author&gt;Tibshirani&lt;/Author&gt;&lt;Year&gt;2001&lt;/Year&gt;&lt;RecNum&gt;3578&lt;/RecNum&gt;&lt;DisplayText&gt;&lt;style face="superscript"&gt;82&lt;/style&gt;&lt;/DisplayText&gt;&lt;record&gt;&lt;rec-number&gt;3578&lt;/rec-number&gt;&lt;foreign-keys&gt;&lt;key app="EN" db-id="29wx2wspfv2s94er2zlvzr90sdz22p0xxapz" timestamp="1596742580"&gt;3578&lt;/key&gt;&lt;/foreign-keys&gt;&lt;ref-type name="Journal Article"&gt;17&lt;/ref-type&gt;&lt;contributors&gt;&lt;authors&gt;&lt;author&gt;Tibshirani, R.&lt;/author&gt;&lt;author&gt;Walther, G.&lt;/author&gt;&lt;author&gt;Hastie, T.&lt;/author&gt;&lt;/authors&gt;&lt;/contributors&gt;&lt;auth-address&gt;Stanford Univ, Dept Hlth Res &amp;amp; Policy, Stanford, CA 94305 USA&amp;#xD;Stanford Univ, Dept Stat, Stanford, CA 94305 USA&lt;/auth-address&gt;&lt;titles&gt;&lt;title&gt;Estimating the number of clusters in a data set via the gap statistic&lt;/title&gt;&lt;secondary-title&gt;Journal of the Royal Statistical Society Series B-Statistical Methodology&lt;/secondary-title&gt;&lt;alt-title&gt;J Roy Stat Soc B&lt;/alt-title&gt;&lt;/titles&gt;&lt;periodical&gt;&lt;full-title&gt;Journal of the Royal Statistical Society Series B-Statistical Methodology&lt;/full-title&gt;&lt;abbr-1&gt;J R Stat Soc B&lt;/abbr-1&gt;&lt;/periodical&gt;&lt;pages&gt;411-423&lt;/pages&gt;&lt;volume&gt;63&lt;/volume&gt;&lt;keywords&gt;&lt;keyword&gt;clustering&lt;/keyword&gt;&lt;keyword&gt;groups&lt;/keyword&gt;&lt;keyword&gt;hierarchy&lt;/keyword&gt;&lt;keyword&gt;k-means&lt;/keyword&gt;&lt;keyword&gt;uniform distribution&lt;/keyword&gt;&lt;/keywords&gt;&lt;dates&gt;&lt;year&gt;2001&lt;/year&gt;&lt;/dates&gt;&lt;isbn&gt;1369-7412&lt;/isbn&gt;&lt;accession-num&gt;WOS:000168837200013&lt;/accession-num&gt;&lt;urls&gt;&lt;related-urls&gt;&lt;url&gt;&amp;lt;Go to ISI&amp;gt;://WOS:000168837200013&lt;/url&gt;&lt;/related-urls&gt;&lt;/urls&gt;&lt;electronic-resource-num&gt;Doi 10.1111/1467-9868.00293&lt;/electronic-resource-num&gt;&lt;language&gt;English&lt;/language&gt;&lt;/record&gt;&lt;/Cite&gt;&lt;/EndNote&gt;</w:instrText>
      </w:r>
      <w:r w:rsidRPr="00F71EA1">
        <w:rPr>
          <w:rFonts w:ascii="Arial" w:hAnsi="Arial" w:cs="Arial"/>
        </w:rPr>
        <w:fldChar w:fldCharType="separate"/>
      </w:r>
      <w:r w:rsidRPr="00F71EA1">
        <w:rPr>
          <w:rFonts w:ascii="Arial" w:hAnsi="Arial" w:cs="Arial"/>
          <w:noProof/>
          <w:vertAlign w:val="superscript"/>
        </w:rPr>
        <w:t>82</w:t>
      </w:r>
      <w:r w:rsidRPr="00F71EA1">
        <w:rPr>
          <w:rFonts w:ascii="Arial" w:hAnsi="Arial" w:cs="Arial"/>
        </w:rPr>
        <w:fldChar w:fldCharType="end"/>
      </w:r>
      <w:r w:rsidRPr="00F71EA1">
        <w:rPr>
          <w:rFonts w:ascii="Arial" w:hAnsi="Arial" w:cs="Arial"/>
        </w:rPr>
        <w:t xml:space="preserve"> were used to identify the optimal number of cytokine clusters after 42 cytokines were measured using the meso-scale platform. Four clusters were observed. </w:t>
      </w:r>
      <w:r w:rsidRPr="00F71EA1">
        <w:rPr>
          <w:rFonts w:ascii="Arial" w:hAnsi="Arial" w:cs="Arial"/>
          <w:b/>
        </w:rPr>
        <w:t>b</w:t>
      </w:r>
      <w:r w:rsidRPr="00F71EA1">
        <w:rPr>
          <w:rFonts w:ascii="Arial" w:hAnsi="Arial" w:cs="Arial"/>
        </w:rPr>
        <w:t>, Hierarchical clustering technique identified similar clusters. Two stable clusters (identified concurrently by k-means and hierarchal clustering) and were observed, one of which contained TGF-</w:t>
      </w:r>
      <w:r w:rsidRPr="00F71EA1">
        <w:rPr>
          <w:rFonts w:ascii="Symbol" w:hAnsi="Symbol" w:cs="Arial"/>
        </w:rPr>
        <w:t></w:t>
      </w:r>
      <w:r w:rsidRPr="00F71EA1">
        <w:rPr>
          <w:rFonts w:ascii="Arial" w:hAnsi="Arial" w:cs="Arial"/>
        </w:rPr>
        <w:t xml:space="preserve">1/2, IL3/7/13, KC.GRO and VEGF. </w:t>
      </w:r>
      <w:r w:rsidRPr="00F71EA1">
        <w:rPr>
          <w:rFonts w:ascii="Arial" w:hAnsi="Arial" w:cs="Arial"/>
          <w:b/>
        </w:rPr>
        <w:t>c</w:t>
      </w:r>
      <w:r w:rsidRPr="00F71EA1">
        <w:rPr>
          <w:rFonts w:ascii="Arial" w:hAnsi="Arial" w:cs="Arial"/>
        </w:rPr>
        <w:t xml:space="preserve">, Table summarizes the cytokine Cluster members identified in (a). </w:t>
      </w:r>
      <w:r w:rsidRPr="00F71EA1">
        <w:rPr>
          <w:rFonts w:ascii="Arial" w:hAnsi="Arial" w:cs="Arial"/>
          <w:b/>
        </w:rPr>
        <w:t>d</w:t>
      </w:r>
      <w:r w:rsidRPr="00F71EA1">
        <w:rPr>
          <w:rFonts w:ascii="Arial" w:hAnsi="Arial" w:cs="Arial"/>
        </w:rPr>
        <w:t>, Heatmap demonstrating the expression of the TGF-</w:t>
      </w:r>
      <w:r w:rsidRPr="00F71EA1">
        <w:rPr>
          <w:rFonts w:ascii="Symbol" w:hAnsi="Symbol" w:cs="Arial"/>
        </w:rPr>
        <w:t></w:t>
      </w:r>
      <w:r w:rsidRPr="00F71EA1">
        <w:rPr>
          <w:rFonts w:ascii="Arial" w:hAnsi="Arial" w:cs="Arial"/>
        </w:rPr>
        <w:t xml:space="preserve">1/2 driven cytokine cluster “Cluster 3” (top portion) and the expression of classifier features correlated to Cluster 3 (bottom portion) across all subjects of the SCOPE cohort. Rows represent the features (plasma cytokine </w:t>
      </w:r>
      <w:r w:rsidRPr="00F71EA1">
        <w:rPr>
          <w:rFonts w:ascii="Arial" w:hAnsi="Arial" w:cs="Arial"/>
        </w:rPr>
        <w:lastRenderedPageBreak/>
        <w:t>levels or TF expression levels</w:t>
      </w:r>
      <w:proofErr w:type="gramStart"/>
      <w:r w:rsidRPr="00F71EA1">
        <w:rPr>
          <w:rFonts w:ascii="Arial" w:hAnsi="Arial" w:cs="Arial"/>
        </w:rPr>
        <w:t>)</w:t>
      </w:r>
      <w:proofErr w:type="gramEnd"/>
      <w:r w:rsidRPr="00F71EA1">
        <w:rPr>
          <w:rFonts w:ascii="Arial" w:hAnsi="Arial" w:cs="Arial"/>
        </w:rPr>
        <w:t xml:space="preserve"> and columns represent samples of the SCOPE cohort: IR (Grey), INR-A (Red), and INR-B (Blue). A red-white-blue gradient is used to depict the relative expression of the features, where blue represent a low relative-expression and red a high relative-expression of the feature. The magnitude of the Senescent Cytokine Cluster (Cluster 3, dark green) is plotted as annotations at the top of the heatmap. GSEA was used to assess the association between the classifier features and Cluster 3 of senescent cytokines (linear regression: classifier genes ~ Cluster 3, GSEA: NES=2.87, p&lt;0.01), and the leading-edge features are represented (See Table S15 for detailed list of genes and associations of cytokine cluster 3 with transcriptome of all groups). </w:t>
      </w:r>
    </w:p>
    <w:p w14:paraId="7CD6BBE0" w14:textId="77777777" w:rsidR="00521178" w:rsidRPr="00F71EA1" w:rsidRDefault="00521178" w:rsidP="00521178">
      <w:pPr>
        <w:spacing w:line="480" w:lineRule="auto"/>
        <w:jc w:val="both"/>
        <w:rPr>
          <w:rFonts w:ascii="Arial" w:hAnsi="Arial" w:cs="Arial"/>
          <w:b/>
        </w:rPr>
      </w:pPr>
    </w:p>
    <w:p w14:paraId="54F28AB1" w14:textId="77777777" w:rsidR="00521178" w:rsidRPr="00F71EA1" w:rsidRDefault="00521178" w:rsidP="00521178">
      <w:pPr>
        <w:spacing w:line="480" w:lineRule="auto"/>
        <w:jc w:val="both"/>
        <w:rPr>
          <w:rFonts w:ascii="Arial" w:eastAsia="Calibri" w:hAnsi="Arial" w:cs="Arial"/>
          <w:color w:val="000000"/>
        </w:rPr>
      </w:pPr>
      <w:r w:rsidRPr="00F71EA1">
        <w:rPr>
          <w:rFonts w:ascii="Arial" w:hAnsi="Arial" w:cs="Arial"/>
          <w:b/>
        </w:rPr>
        <w:t>Supplementary Figure 5 | Detailed integrated correlation network that defined the phenotype of senescent INRs and the in vitro phenotype resulting from the stimulation naïve CD4 T cells with a-</w:t>
      </w:r>
      <w:proofErr w:type="spellStart"/>
      <w:r w:rsidRPr="00F71EA1">
        <w:rPr>
          <w:rFonts w:ascii="Arial" w:hAnsi="Arial" w:cs="Arial"/>
          <w:b/>
        </w:rPr>
        <w:t>ketobutyrate</w:t>
      </w:r>
      <w:proofErr w:type="spellEnd"/>
      <w:r w:rsidRPr="00F71EA1">
        <w:rPr>
          <w:rFonts w:ascii="Arial" w:hAnsi="Arial" w:cs="Arial"/>
          <w:b/>
        </w:rPr>
        <w:t>. a-b</w:t>
      </w:r>
      <w:r w:rsidRPr="00F71EA1">
        <w:rPr>
          <w:rFonts w:ascii="Arial" w:hAnsi="Arial" w:cs="Arial"/>
        </w:rPr>
        <w:t xml:space="preserve">, </w:t>
      </w:r>
      <w:r w:rsidRPr="00F71EA1">
        <w:rPr>
          <w:rFonts w:ascii="Arial" w:eastAsia="Calibri" w:hAnsi="Arial" w:cs="Arial"/>
          <w:color w:val="000000"/>
        </w:rPr>
        <w:t xml:space="preserve">Jitter plots highlighting </w:t>
      </w:r>
      <w:proofErr w:type="gramStart"/>
      <w:r w:rsidRPr="00F71EA1">
        <w:rPr>
          <w:rFonts w:ascii="Arial" w:eastAsia="Calibri" w:hAnsi="Arial" w:cs="Arial"/>
          <w:color w:val="000000"/>
        </w:rPr>
        <w:t>that increasing concentrations</w:t>
      </w:r>
      <w:proofErr w:type="gramEnd"/>
      <w:r w:rsidRPr="00F71EA1">
        <w:rPr>
          <w:rFonts w:ascii="Arial" w:eastAsia="Calibri" w:hAnsi="Arial" w:cs="Arial"/>
          <w:color w:val="000000"/>
        </w:rPr>
        <w:t xml:space="preserve"> of alpha-</w:t>
      </w:r>
      <w:proofErr w:type="spellStart"/>
      <w:r w:rsidRPr="00F71EA1">
        <w:rPr>
          <w:rFonts w:ascii="Arial" w:eastAsia="Calibri" w:hAnsi="Arial" w:cs="Arial"/>
          <w:color w:val="000000"/>
        </w:rPr>
        <w:t>ketobutyrate</w:t>
      </w:r>
      <w:proofErr w:type="spellEnd"/>
      <w:r w:rsidRPr="00F71EA1">
        <w:rPr>
          <w:rFonts w:ascii="Arial" w:eastAsia="Calibri" w:hAnsi="Arial" w:cs="Arial"/>
          <w:color w:val="000000"/>
        </w:rPr>
        <w:t xml:space="preserve"> preferentially led to differentiation into GARP+FOXP3+ cells (</w:t>
      </w:r>
      <w:r w:rsidRPr="00F71EA1">
        <w:rPr>
          <w:rFonts w:ascii="Arial" w:eastAsia="Calibri" w:hAnsi="Arial" w:cs="Arial"/>
          <w:b/>
          <w:color w:val="000000"/>
        </w:rPr>
        <w:t>a</w:t>
      </w:r>
      <w:r w:rsidRPr="00F71EA1">
        <w:rPr>
          <w:rFonts w:ascii="Arial" w:eastAsia="Calibri" w:hAnsi="Arial" w:cs="Arial"/>
          <w:color w:val="000000"/>
        </w:rPr>
        <w:t>) and increased levels of PD1 expressing quiescent cells (</w:t>
      </w:r>
      <w:r w:rsidRPr="00F71EA1">
        <w:rPr>
          <w:rFonts w:ascii="Arial" w:eastAsia="Calibri" w:hAnsi="Arial" w:cs="Arial"/>
          <w:b/>
          <w:color w:val="000000"/>
        </w:rPr>
        <w:t>b</w:t>
      </w:r>
      <w:r w:rsidRPr="00F71EA1">
        <w:rPr>
          <w:rFonts w:ascii="Arial" w:eastAsia="Calibri" w:hAnsi="Arial" w:cs="Arial"/>
          <w:color w:val="000000"/>
        </w:rPr>
        <w:t xml:space="preserve">). GARP+FOXP3+ and PD1+CD27+ levels plotted along the Y-axis, while </w:t>
      </w:r>
      <w:r w:rsidRPr="00F71EA1">
        <w:rPr>
          <w:rFonts w:ascii="Symbol" w:eastAsia="Calibri" w:hAnsi="Symbol" w:cs="Arial"/>
          <w:color w:val="000000"/>
        </w:rPr>
        <w:t></w:t>
      </w:r>
      <w:r w:rsidRPr="00F71EA1">
        <w:rPr>
          <w:rFonts w:ascii="Arial" w:eastAsia="Calibri" w:hAnsi="Arial" w:cs="Arial"/>
          <w:color w:val="000000"/>
        </w:rPr>
        <w:t>-</w:t>
      </w:r>
      <w:proofErr w:type="spellStart"/>
      <w:r w:rsidRPr="00F71EA1">
        <w:rPr>
          <w:rFonts w:ascii="Arial" w:eastAsia="Calibri" w:hAnsi="Arial" w:cs="Arial"/>
          <w:color w:val="000000"/>
        </w:rPr>
        <w:t>ketobutyrate</w:t>
      </w:r>
      <w:proofErr w:type="spellEnd"/>
      <w:r w:rsidRPr="00F71EA1">
        <w:rPr>
          <w:rFonts w:ascii="Arial" w:eastAsia="Calibri" w:hAnsi="Arial" w:cs="Arial"/>
          <w:color w:val="000000"/>
        </w:rPr>
        <w:t xml:space="preserve"> increasing concentration levels are indicated on the X-axis. Conditions in the presence of TFG-</w:t>
      </w:r>
      <w:r w:rsidRPr="00F71EA1">
        <w:rPr>
          <w:rFonts w:ascii="Symbol" w:eastAsia="Calibri" w:hAnsi="Symbol" w:cs="Arial"/>
          <w:color w:val="000000"/>
        </w:rPr>
        <w:t></w:t>
      </w:r>
      <w:r w:rsidRPr="00F71EA1">
        <w:rPr>
          <w:rFonts w:ascii="Arial" w:eastAsia="Calibri" w:hAnsi="Arial" w:cs="Arial"/>
          <w:color w:val="000000"/>
        </w:rPr>
        <w:t xml:space="preserve"> are designated with (+TGF-β). A Mann-Whitney U-test was used to assess significance across concentrations (* represents p-value &lt;0.05 between groups).</w:t>
      </w:r>
    </w:p>
    <w:p w14:paraId="77BF8E20" w14:textId="77777777" w:rsidR="00521178" w:rsidRPr="00F71EA1" w:rsidRDefault="00521178" w:rsidP="00521178">
      <w:pPr>
        <w:spacing w:line="480" w:lineRule="auto"/>
        <w:jc w:val="both"/>
        <w:rPr>
          <w:rFonts w:ascii="Arial" w:hAnsi="Arial" w:cs="Arial"/>
        </w:rPr>
      </w:pPr>
      <w:r w:rsidRPr="00F71EA1">
        <w:rPr>
          <w:rFonts w:ascii="Arial" w:eastAsia="Calibri" w:hAnsi="Arial" w:cs="Arial"/>
          <w:b/>
          <w:color w:val="000000"/>
        </w:rPr>
        <w:t>(</w:t>
      </w:r>
      <w:r w:rsidRPr="00F71EA1">
        <w:rPr>
          <w:rFonts w:ascii="Arial" w:hAnsi="Arial" w:cs="Arial"/>
          <w:b/>
        </w:rPr>
        <w:t>c) A multi-</w:t>
      </w:r>
      <w:proofErr w:type="spellStart"/>
      <w:r w:rsidRPr="00F71EA1">
        <w:rPr>
          <w:rFonts w:ascii="Arial" w:hAnsi="Arial" w:cs="Arial"/>
          <w:b/>
        </w:rPr>
        <w:t>omic</w:t>
      </w:r>
      <w:proofErr w:type="spellEnd"/>
      <w:r w:rsidRPr="00F71EA1">
        <w:rPr>
          <w:rFonts w:ascii="Arial" w:hAnsi="Arial" w:cs="Arial"/>
          <w:b/>
        </w:rPr>
        <w:t xml:space="preserve"> gene expression and flow cytometry model correlates with the magnitude of CD4 counts and inducible HIV. </w:t>
      </w:r>
      <w:r w:rsidRPr="00F71EA1">
        <w:rPr>
          <w:rFonts w:ascii="Arial" w:hAnsi="Arial" w:cs="Arial"/>
        </w:rPr>
        <w:t xml:space="preserve">Detailed network depicting an integrated model highlighting the association between gene-expression outcomes (genes and pathways, circular nodes), flow cytometry readouts (square nodes) and clinical outcomes </w:t>
      </w:r>
      <w:r w:rsidRPr="00F71EA1">
        <w:rPr>
          <w:rFonts w:ascii="Arial" w:hAnsi="Arial" w:cs="Arial"/>
        </w:rPr>
        <w:lastRenderedPageBreak/>
        <w:t>(diamond nodes). Circular nodes reflect leading edge genes of biological pathways listed and are colored by the fold change in Senescent INR subjects. Triangular nodes reflect highlight transcription factors and are colored by the fold change in Senescent INR subjects. Edges between nodes represent a significant positive or negative correlation (red or blue respectively). A spearman correlation was used to assess significance (p-value &lt; 0.05).</w:t>
      </w:r>
    </w:p>
    <w:p w14:paraId="0ABC5C10" w14:textId="77777777" w:rsidR="00521178" w:rsidRPr="00F71EA1" w:rsidRDefault="00521178" w:rsidP="00521178">
      <w:pPr>
        <w:spacing w:line="480" w:lineRule="auto"/>
        <w:jc w:val="both"/>
        <w:rPr>
          <w:rFonts w:ascii="Arial" w:hAnsi="Arial" w:cs="Arial"/>
          <w:b/>
        </w:rPr>
      </w:pPr>
    </w:p>
    <w:p w14:paraId="77247DCB" w14:textId="77777777" w:rsidR="00521178" w:rsidRPr="00F71EA1" w:rsidRDefault="00521178" w:rsidP="00521178">
      <w:pPr>
        <w:spacing w:line="480" w:lineRule="auto"/>
        <w:jc w:val="both"/>
        <w:rPr>
          <w:rFonts w:ascii="Arial" w:hAnsi="Arial" w:cs="Arial"/>
          <w:b/>
        </w:rPr>
      </w:pPr>
      <w:r w:rsidRPr="00F71EA1">
        <w:rPr>
          <w:rFonts w:ascii="Arial" w:hAnsi="Arial" w:cs="Arial"/>
          <w:b/>
        </w:rPr>
        <w:t>Supplementary Figure 6 | Altered interferon signaling drives inducible HIV in Senescent INRs. a-c</w:t>
      </w:r>
      <w:r w:rsidRPr="00F71EA1">
        <w:rPr>
          <w:rFonts w:ascii="Arial" w:hAnsi="Arial" w:cs="Arial"/>
        </w:rPr>
        <w:t xml:space="preserve">, Jitter plot illustrating significantly elevated levels of IRF3 expression in Senescent-INR subjects </w:t>
      </w:r>
      <w:r w:rsidRPr="00F71EA1">
        <w:rPr>
          <w:rFonts w:ascii="Arial" w:hAnsi="Arial" w:cs="Arial"/>
          <w:b/>
        </w:rPr>
        <w:t>(a)</w:t>
      </w:r>
      <w:r w:rsidRPr="00F71EA1">
        <w:rPr>
          <w:rFonts w:ascii="Arial" w:hAnsi="Arial" w:cs="Arial"/>
        </w:rPr>
        <w:t xml:space="preserve">, scatter plot showing a significant positive correlation between FOXO3 and IRF3 expression </w:t>
      </w:r>
      <w:r w:rsidRPr="00F71EA1">
        <w:rPr>
          <w:rFonts w:ascii="Arial" w:hAnsi="Arial" w:cs="Arial"/>
          <w:b/>
        </w:rPr>
        <w:t>(b)</w:t>
      </w:r>
      <w:r w:rsidRPr="00F71EA1">
        <w:rPr>
          <w:rFonts w:ascii="Arial" w:hAnsi="Arial" w:cs="Arial"/>
        </w:rPr>
        <w:t xml:space="preserve"> and diminished levels of IRF7 expression in Senescent-INR subjects </w:t>
      </w:r>
      <w:r w:rsidRPr="00F71EA1">
        <w:rPr>
          <w:rFonts w:ascii="Arial" w:hAnsi="Arial" w:cs="Arial"/>
          <w:b/>
        </w:rPr>
        <w:t>(c)</w:t>
      </w:r>
      <w:r w:rsidRPr="00F71EA1">
        <w:rPr>
          <w:rFonts w:ascii="Arial" w:hAnsi="Arial" w:cs="Arial"/>
        </w:rPr>
        <w:t xml:space="preserve"> of the CLIF cohort. A Wilcoxon rank sum test was used to assess significant differences between groups (**p &lt; 0.01, ****p&lt;0.0001), and a spearman correlation test was used to assess significance of association (p-value and rho indicated on plot). </w:t>
      </w:r>
      <w:r w:rsidRPr="00F71EA1">
        <w:rPr>
          <w:rFonts w:ascii="Arial" w:hAnsi="Arial" w:cs="Arial"/>
          <w:b/>
        </w:rPr>
        <w:t>d</w:t>
      </w:r>
      <w:r w:rsidRPr="00F71EA1">
        <w:rPr>
          <w:rFonts w:ascii="Arial" w:hAnsi="Arial" w:cs="Arial"/>
        </w:rPr>
        <w:t>, Heatmap illustrating the dichotomy of interferon signaling driving the HIV reservoir size among subjects of the SCOPE cohort (Top block: linear regression: Restriction Factors ~ inducible HIV, GSEA: NES= - 1.6, p&lt;0.05, Bottom block: positive correlates of inducible HIV that are targets of FOXO3 and IRF3). Rows represent the z-score normalized genes in the leading edge and columns represent samples of the SCOPE cohort: IR (Grey), Senescent-INR (Red), and INR-B (Blue). As indicated in the legend, each row is z-score normalized. The magnitude of CD4 counts (purple) and the size of inducible HIV (black) are plotted as annotations at the top of the heatmap, as indicated. See Table S12 for full gene-lists.</w:t>
      </w:r>
    </w:p>
    <w:p w14:paraId="4DFAC67D" w14:textId="77777777" w:rsidR="00521178" w:rsidRPr="00F71EA1" w:rsidRDefault="00521178" w:rsidP="00521178">
      <w:pPr>
        <w:spacing w:line="480" w:lineRule="auto"/>
        <w:jc w:val="both"/>
        <w:rPr>
          <w:rFonts w:ascii="Arial" w:hAnsi="Arial" w:cs="Arial"/>
          <w:b/>
        </w:rPr>
      </w:pPr>
    </w:p>
    <w:p w14:paraId="289D7910" w14:textId="77777777" w:rsidR="00521178" w:rsidRDefault="00521178" w:rsidP="00521178">
      <w:pPr>
        <w:spacing w:line="480" w:lineRule="auto"/>
        <w:jc w:val="both"/>
        <w:rPr>
          <w:rFonts w:ascii="Arial" w:hAnsi="Arial" w:cs="Arial"/>
        </w:rPr>
      </w:pPr>
      <w:r w:rsidRPr="00F71EA1">
        <w:rPr>
          <w:rFonts w:ascii="Arial" w:hAnsi="Arial" w:cs="Arial"/>
          <w:b/>
        </w:rPr>
        <w:t>Supplementary Figure 7 | Flow cytometry gating strategy for the markers used in this study. a</w:t>
      </w:r>
      <w:r w:rsidRPr="00F71EA1">
        <w:rPr>
          <w:rFonts w:ascii="Arial" w:hAnsi="Arial" w:cs="Arial"/>
        </w:rPr>
        <w:t xml:space="preserve">, A lymphocyte gate based on FSC-A and SSC-A was defined. Single cells were then selected by FSC-A x FCS-H gate. Live cells were gated and successive gates to define T cell populations (CD3+CD4+ and CD3+CD8+) were made. </w:t>
      </w:r>
      <w:r w:rsidRPr="00F71EA1">
        <w:rPr>
          <w:rFonts w:ascii="Arial" w:hAnsi="Arial" w:cs="Arial"/>
          <w:b/>
        </w:rPr>
        <w:t>b</w:t>
      </w:r>
      <w:r w:rsidRPr="00F71EA1">
        <w:rPr>
          <w:rFonts w:ascii="Arial" w:hAnsi="Arial" w:cs="Arial"/>
        </w:rPr>
        <w:t>, Memory phenotypes gating of CD4 and CD8 subsets (</w:t>
      </w:r>
      <w:proofErr w:type="spellStart"/>
      <w:r w:rsidRPr="00F71EA1">
        <w:rPr>
          <w:rFonts w:ascii="Arial" w:hAnsi="Arial" w:cs="Arial"/>
        </w:rPr>
        <w:t>Tcm</w:t>
      </w:r>
      <w:proofErr w:type="spellEnd"/>
      <w:r w:rsidRPr="00F71EA1">
        <w:rPr>
          <w:rFonts w:ascii="Arial" w:hAnsi="Arial" w:cs="Arial"/>
        </w:rPr>
        <w:t xml:space="preserve">: CD45RA-CCR7+CD27+, </w:t>
      </w:r>
      <w:proofErr w:type="spellStart"/>
      <w:r w:rsidRPr="00F71EA1">
        <w:rPr>
          <w:rFonts w:ascii="Arial" w:hAnsi="Arial" w:cs="Arial"/>
        </w:rPr>
        <w:t>Ttm</w:t>
      </w:r>
      <w:proofErr w:type="spellEnd"/>
      <w:r w:rsidRPr="00F71EA1">
        <w:rPr>
          <w:rFonts w:ascii="Arial" w:hAnsi="Arial" w:cs="Arial"/>
        </w:rPr>
        <w:t xml:space="preserve">: CD45RA-CCR7-CD27+, </w:t>
      </w:r>
      <w:proofErr w:type="spellStart"/>
      <w:r w:rsidRPr="00F71EA1">
        <w:rPr>
          <w:rFonts w:ascii="Arial" w:hAnsi="Arial" w:cs="Arial"/>
        </w:rPr>
        <w:t>Tem</w:t>
      </w:r>
      <w:proofErr w:type="spellEnd"/>
      <w:r w:rsidRPr="00F71EA1">
        <w:rPr>
          <w:rFonts w:ascii="Arial" w:hAnsi="Arial" w:cs="Arial"/>
        </w:rPr>
        <w:t xml:space="preserve">: CD45RA-CCR7-CD27-, Naive: CD45RA+CCR7+CD27+CD95- and </w:t>
      </w:r>
      <w:proofErr w:type="spellStart"/>
      <w:r w:rsidRPr="00F71EA1">
        <w:rPr>
          <w:rFonts w:ascii="Arial" w:hAnsi="Arial" w:cs="Arial"/>
        </w:rPr>
        <w:t>Tscm</w:t>
      </w:r>
      <w:proofErr w:type="spellEnd"/>
      <w:r w:rsidRPr="00F71EA1">
        <w:rPr>
          <w:rFonts w:ascii="Arial" w:hAnsi="Arial" w:cs="Arial"/>
        </w:rPr>
        <w:t xml:space="preserve">: CD45RA+CCR7+CD27+CD95+) were performed. </w:t>
      </w:r>
      <w:r w:rsidRPr="00F71EA1">
        <w:rPr>
          <w:rFonts w:ascii="Arial" w:hAnsi="Arial" w:cs="Arial"/>
          <w:b/>
        </w:rPr>
        <w:t>c</w:t>
      </w:r>
      <w:r w:rsidRPr="00F71EA1">
        <w:rPr>
          <w:rFonts w:ascii="Arial" w:hAnsi="Arial" w:cs="Arial"/>
        </w:rPr>
        <w:t xml:space="preserve">, Tregs were identified after initial gating on CD4 T cells and the expression of SATB1 was measured in this subset. </w:t>
      </w:r>
      <w:r w:rsidRPr="00F71EA1">
        <w:rPr>
          <w:rFonts w:ascii="Arial" w:hAnsi="Arial" w:cs="Arial"/>
          <w:b/>
        </w:rPr>
        <w:t>d</w:t>
      </w:r>
      <w:r w:rsidRPr="00F71EA1">
        <w:rPr>
          <w:rFonts w:ascii="Arial" w:hAnsi="Arial" w:cs="Arial"/>
        </w:rPr>
        <w:t>, the frequencies of PD1+, LAP+, a surrogate marker for TGF-</w:t>
      </w:r>
      <w:r w:rsidRPr="00F71EA1">
        <w:rPr>
          <w:rFonts w:ascii="Symbol" w:hAnsi="Symbol" w:cs="Arial"/>
        </w:rPr>
        <w:t></w:t>
      </w:r>
      <w:r w:rsidRPr="00F71EA1">
        <w:rPr>
          <w:rFonts w:ascii="Arial" w:hAnsi="Arial" w:cs="Arial"/>
        </w:rPr>
        <w:t xml:space="preserve"> expression and GLUT1+ cells were measured in all subsets using the gating strategy described here.</w:t>
      </w:r>
    </w:p>
    <w:p w14:paraId="7A5D8D69" w14:textId="77777777" w:rsidR="00CE1EFE" w:rsidRDefault="00CE1EFE"/>
    <w:sectPr w:rsidR="00CE1E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178"/>
    <w:rsid w:val="00521178"/>
    <w:rsid w:val="00CE1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274B4"/>
  <w15:chartTrackingRefBased/>
  <w15:docId w15:val="{5298E459-4B27-43B3-BE77-F99A47F98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1178"/>
    <w:pPr>
      <w:spacing w:after="0" w:line="240" w:lineRule="auto"/>
    </w:pPr>
    <w:rPr>
      <w:rFonts w:ascii="Cambria" w:eastAsia="Cambria" w:hAnsi="Cambria" w:cs="Cambr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1695</Words>
  <Characters>9666</Characters>
  <Application>Microsoft Office Word</Application>
  <DocSecurity>0</DocSecurity>
  <Lines>80</Lines>
  <Paragraphs>22</Paragraphs>
  <ScaleCrop>false</ScaleCrop>
  <Company/>
  <LinksUpToDate>false</LinksUpToDate>
  <CharactersWithSpaces>11339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2021-09-28T02:14:00Z</dcterms:created>
  <dcterms:modified xsi:type="dcterms:W3CDTF">2021-09-28T02:15:00Z</dcterms:modified>
</cp:coreProperties>
</file>