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9D03" w14:textId="77777777" w:rsidR="00622EA9" w:rsidRPr="00255C83" w:rsidRDefault="00622EA9" w:rsidP="00622EA9">
      <w:pPr>
        <w:spacing w:line="48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255C83">
        <w:rPr>
          <w:rFonts w:ascii="Times New Roman" w:hAnsi="Times New Roman" w:cs="Times New Roman"/>
          <w:b/>
          <w:i/>
          <w:sz w:val="24"/>
          <w:szCs w:val="24"/>
        </w:rPr>
        <w:t>Structured Graphical Abstract</w:t>
      </w:r>
    </w:p>
    <w:p w14:paraId="48825EB2" w14:textId="77777777" w:rsidR="00622EA9" w:rsidRPr="00255C83" w:rsidRDefault="00622EA9" w:rsidP="00622EA9">
      <w:pPr>
        <w:pStyle w:val="Default"/>
        <w:spacing w:line="480" w:lineRule="auto"/>
        <w:rPr>
          <w:b/>
          <w:i/>
          <w:color w:val="auto"/>
          <w:kern w:val="2"/>
        </w:rPr>
      </w:pPr>
      <w:r w:rsidRPr="00255C83">
        <w:rPr>
          <w:color w:val="auto"/>
          <w:kern w:val="2"/>
        </w:rPr>
        <w:t>Synergistic interaction between CHIP and hsCRP-defined inflammation significantly amplified mortality risk, particularly in patients with above-median hsCRP and CHIP.</w:t>
      </w:r>
      <w:r w:rsidRPr="00255C83">
        <w:rPr>
          <w:b/>
          <w:i/>
          <w:color w:val="auto"/>
          <w:kern w:val="2"/>
        </w:rPr>
        <w:t xml:space="preserve"> </w:t>
      </w:r>
      <w:r w:rsidRPr="00255C83">
        <w:rPr>
          <w:color w:val="auto"/>
          <w:kern w:val="2"/>
        </w:rPr>
        <w:t>Mendelian randomization demonstrated a unidirectional causal link: elevated hsCRP levels predisposed to CHIP development.</w:t>
      </w:r>
    </w:p>
    <w:tbl>
      <w:tblPr>
        <w:tblStyle w:val="TableGrid"/>
        <w:tblW w:w="1573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6"/>
      </w:tblGrid>
      <w:tr w:rsidR="00622EA9" w:rsidRPr="00255C83" w14:paraId="265B1FF3" w14:textId="77777777" w:rsidTr="00B12422">
        <w:tc>
          <w:tcPr>
            <w:tcW w:w="15739" w:type="dxa"/>
          </w:tcPr>
          <w:p w14:paraId="4C77AE00" w14:textId="77777777" w:rsidR="00622EA9" w:rsidRPr="00255C83" w:rsidRDefault="00622EA9" w:rsidP="00B12422">
            <w:pPr>
              <w:pStyle w:val="Default"/>
              <w:spacing w:line="480" w:lineRule="auto"/>
              <w:rPr>
                <w:color w:val="auto"/>
                <w:kern w:val="2"/>
              </w:rPr>
            </w:pPr>
            <w:r w:rsidRPr="00255C83">
              <w:rPr>
                <w:noProof/>
                <w:color w:val="auto"/>
                <w:kern w:val="2"/>
              </w:rPr>
              <w:lastRenderedPageBreak/>
              <w:drawing>
                <wp:inline distT="0" distB="0" distL="0" distR="0" wp14:anchorId="33809E8F" wp14:editId="54B6A573">
                  <wp:extent cx="9925050" cy="7142728"/>
                  <wp:effectExtent l="0" t="0" r="0" b="127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al abstract.tif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011" cy="7151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EA9" w:rsidRPr="00255C83" w14:paraId="21A0DE65" w14:textId="77777777" w:rsidTr="00B12422">
        <w:tc>
          <w:tcPr>
            <w:tcW w:w="15739" w:type="dxa"/>
          </w:tcPr>
          <w:p w14:paraId="10E580FA" w14:textId="77777777" w:rsidR="00622EA9" w:rsidRPr="00255C83" w:rsidRDefault="00622EA9" w:rsidP="00B12422">
            <w:pPr>
              <w:pStyle w:val="Default"/>
              <w:spacing w:line="480" w:lineRule="auto"/>
              <w:rPr>
                <w:i/>
                <w:color w:val="auto"/>
                <w:kern w:val="2"/>
              </w:rPr>
            </w:pPr>
            <w:r w:rsidRPr="00255C83">
              <w:rPr>
                <w:b/>
                <w:i/>
                <w:color w:val="auto"/>
                <w:kern w:val="2"/>
              </w:rPr>
              <w:t>Central Illustration</w:t>
            </w:r>
          </w:p>
          <w:p w14:paraId="4F91A62D" w14:textId="77777777" w:rsidR="00622EA9" w:rsidRPr="00255C83" w:rsidRDefault="00622EA9" w:rsidP="00B12422">
            <w:pPr>
              <w:pStyle w:val="Default"/>
              <w:spacing w:line="480" w:lineRule="auto"/>
              <w:rPr>
                <w:color w:val="auto"/>
                <w:kern w:val="2"/>
              </w:rPr>
            </w:pPr>
            <w:r w:rsidRPr="00255C83">
              <w:rPr>
                <w:color w:val="auto"/>
                <w:kern w:val="2"/>
              </w:rPr>
              <w:t xml:space="preserve">The association between clonal hematopoiesis of indeterminate potential (CHIP) and </w:t>
            </w:r>
            <w:r w:rsidRPr="00255C83">
              <w:rPr>
                <w:color w:val="auto"/>
                <w:shd w:val="clear" w:color="auto" w:fill="FFFFFF"/>
              </w:rPr>
              <w:t>high-sensitivity C-reactive protein (hs-CRP)</w:t>
            </w:r>
            <w:r w:rsidRPr="00255C83">
              <w:rPr>
                <w:color w:val="auto"/>
                <w:kern w:val="2"/>
              </w:rPr>
              <w:t xml:space="preserve">: The prevalence of CHIP and elevated levels of hs-CRP are significantly higher in individuals who experience mortality. Furthermore, the predictive value of CHIP combined with higher CRP as a marker for poor clinical prognosis has </w:t>
            </w:r>
            <w:r w:rsidRPr="00255C83">
              <w:rPr>
                <w:color w:val="auto"/>
                <w:kern w:val="2"/>
              </w:rPr>
              <w:lastRenderedPageBreak/>
              <w:t xml:space="preserve">been assessed in this study. Mendelian randomization studies suggest that the development of hs-CRP may increase the propensity for CHIP. </w:t>
            </w:r>
            <w:r w:rsidRPr="00255C83">
              <w:rPr>
                <w:b/>
                <w:i/>
                <w:color w:val="auto"/>
                <w:kern w:val="2"/>
              </w:rPr>
              <w:t>Abbreviations</w:t>
            </w:r>
            <w:r w:rsidRPr="00255C83">
              <w:rPr>
                <w:color w:val="auto"/>
                <w:kern w:val="2"/>
              </w:rPr>
              <w:t xml:space="preserve"> </w:t>
            </w:r>
            <w:r w:rsidRPr="00255C83">
              <w:rPr>
                <w:i/>
                <w:color w:val="auto"/>
                <w:kern w:val="2"/>
              </w:rPr>
              <w:t>hs-CRP, high-sensitivity C-reactive protein; CHIP, clonal haematopoiesis of indeterminate potential; IL-1β, Interleukin—1β; IL-6, Interleukin—6; PCSK9, Proprotein Convertase Subtilisin/Kexin Type 9; NLRP3, nucleotide-binding oligomerization domain-like receptor protein 3; ABCA1, ATP binding cassette transporter A1</w:t>
            </w:r>
            <w:r w:rsidRPr="00255C83">
              <w:rPr>
                <w:color w:val="auto"/>
                <w:kern w:val="2"/>
              </w:rPr>
              <w:t>(Created with MedPeer / medpeer.cn)</w:t>
            </w:r>
          </w:p>
        </w:tc>
      </w:tr>
    </w:tbl>
    <w:p w14:paraId="4E5B6AAB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A9"/>
    <w:rsid w:val="00195413"/>
    <w:rsid w:val="003D0186"/>
    <w:rsid w:val="00622EA9"/>
    <w:rsid w:val="007278E4"/>
    <w:rsid w:val="00903895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AEAF8"/>
  <w15:chartTrackingRefBased/>
  <w15:docId w15:val="{B7771DB0-3494-4D5E-B078-0E3D2134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EA9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EA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EA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EA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EA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EA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EA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EA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EA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EA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E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E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E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E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E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E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E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EA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2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EA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2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EA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2E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EA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2E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E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E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EA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2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zh-CN"/>
      <w14:ligatures w14:val="none"/>
    </w:rPr>
  </w:style>
  <w:style w:type="table" w:styleId="TableGrid">
    <w:name w:val="Table Grid"/>
    <w:basedOn w:val="TableNormal"/>
    <w:uiPriority w:val="59"/>
    <w:rsid w:val="00622EA9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1027</Characters>
  <Application>Microsoft Office Word</Application>
  <DocSecurity>0</DocSecurity>
  <Lines>8</Lines>
  <Paragraphs>2</Paragraphs>
  <ScaleCrop>false</ScaleCrop>
  <Company>Springer Nature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2026-04-17T12:39:00Z</dcterms:created>
  <dcterms:modified xsi:type="dcterms:W3CDTF">2026-04-17T12:40:00Z</dcterms:modified>
</cp:coreProperties>
</file>