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65D20" w14:textId="77777777" w:rsidR="00FB4F03" w:rsidRDefault="00FB4F03" w:rsidP="00FB4F03">
      <w:pPr>
        <w:rPr>
          <w:rFonts w:ascii="Times New Roman" w:hAnsi="Times New Roman" w:cs="Times New Roman"/>
        </w:rPr>
      </w:pPr>
      <w:r w:rsidRPr="00000A9B">
        <w:rPr>
          <w:rFonts w:ascii="Times New Roman" w:hAnsi="Times New Roman" w:cs="Times New Roman"/>
        </w:rPr>
        <w:t xml:space="preserve">Supplementary Table </w:t>
      </w:r>
      <w:r>
        <w:rPr>
          <w:rFonts w:ascii="Times New Roman" w:hAnsi="Times New Roman" w:cs="Times New Roman"/>
        </w:rPr>
        <w:t>3</w:t>
      </w:r>
      <w:r w:rsidRPr="00000A9B">
        <w:rPr>
          <w:rFonts w:ascii="Times New Roman" w:hAnsi="Times New Roman" w:cs="Times New Roman"/>
        </w:rPr>
        <w:t>. Sensitivity Analyses Assessing the Robustness of the Association Between AKI Severity and In-Hospital Mortality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42"/>
        <w:gridCol w:w="2661"/>
        <w:gridCol w:w="2229"/>
      </w:tblGrid>
      <w:tr w:rsidR="00FB4F03" w:rsidRPr="00000A9B" w14:paraId="3A208E2D" w14:textId="77777777" w:rsidTr="005E0F00">
        <w:trPr>
          <w:tblHeader/>
          <w:tblCellSpacing w:w="15" w:type="dxa"/>
        </w:trPr>
        <w:tc>
          <w:tcPr>
            <w:tcW w:w="0" w:type="auto"/>
            <w:vAlign w:val="center"/>
            <w:hideMark/>
          </w:tcPr>
          <w:p w14:paraId="35BF7535" w14:textId="77777777" w:rsidR="00FB4F03" w:rsidRPr="00000A9B" w:rsidRDefault="00FB4F03" w:rsidP="005E0F00">
            <w:pPr>
              <w:rPr>
                <w:rFonts w:ascii="Times New Roman" w:hAnsi="Times New Roman" w:cs="Times New Roman"/>
                <w:b/>
                <w:bCs/>
              </w:rPr>
            </w:pPr>
            <w:r w:rsidRPr="00000A9B">
              <w:rPr>
                <w:rFonts w:ascii="Times New Roman" w:hAnsi="Times New Roman" w:cs="Times New Roman"/>
                <w:b/>
                <w:bCs/>
              </w:rPr>
              <w:t>Model</w:t>
            </w:r>
          </w:p>
        </w:tc>
        <w:tc>
          <w:tcPr>
            <w:tcW w:w="0" w:type="auto"/>
            <w:vAlign w:val="center"/>
            <w:hideMark/>
          </w:tcPr>
          <w:p w14:paraId="0D005144" w14:textId="77777777" w:rsidR="00FB4F03" w:rsidRPr="00000A9B" w:rsidRDefault="00FB4F03" w:rsidP="005E0F00">
            <w:pPr>
              <w:rPr>
                <w:rFonts w:ascii="Times New Roman" w:hAnsi="Times New Roman" w:cs="Times New Roman"/>
                <w:b/>
                <w:bCs/>
              </w:rPr>
            </w:pPr>
            <w:r w:rsidRPr="00000A9B">
              <w:rPr>
                <w:rFonts w:ascii="Times New Roman" w:hAnsi="Times New Roman" w:cs="Times New Roman"/>
                <w:b/>
                <w:bCs/>
              </w:rPr>
              <w:t>AKI non-D OR (95% CI)</w:t>
            </w:r>
          </w:p>
        </w:tc>
        <w:tc>
          <w:tcPr>
            <w:tcW w:w="0" w:type="auto"/>
            <w:vAlign w:val="center"/>
            <w:hideMark/>
          </w:tcPr>
          <w:p w14:paraId="603A5D77" w14:textId="77777777" w:rsidR="00FB4F03" w:rsidRPr="00000A9B" w:rsidRDefault="00FB4F03" w:rsidP="005E0F00">
            <w:pPr>
              <w:rPr>
                <w:rFonts w:ascii="Times New Roman" w:hAnsi="Times New Roman" w:cs="Times New Roman"/>
                <w:b/>
                <w:bCs/>
              </w:rPr>
            </w:pPr>
            <w:r w:rsidRPr="00000A9B">
              <w:rPr>
                <w:rFonts w:ascii="Times New Roman" w:hAnsi="Times New Roman" w:cs="Times New Roman"/>
                <w:b/>
                <w:bCs/>
              </w:rPr>
              <w:t>AKI-D OR (95% CI)</w:t>
            </w:r>
          </w:p>
        </w:tc>
      </w:tr>
      <w:tr w:rsidR="00FB4F03" w:rsidRPr="00000A9B" w14:paraId="03BDC153" w14:textId="77777777" w:rsidTr="005E0F00">
        <w:trPr>
          <w:tblCellSpacing w:w="15" w:type="dxa"/>
        </w:trPr>
        <w:tc>
          <w:tcPr>
            <w:tcW w:w="0" w:type="auto"/>
            <w:vAlign w:val="center"/>
            <w:hideMark/>
          </w:tcPr>
          <w:p w14:paraId="0DFB1610" w14:textId="77777777" w:rsidR="00FB4F03" w:rsidRPr="00000A9B" w:rsidRDefault="00FB4F03" w:rsidP="005E0F00">
            <w:pPr>
              <w:rPr>
                <w:rFonts w:ascii="Times New Roman" w:hAnsi="Times New Roman" w:cs="Times New Roman"/>
              </w:rPr>
            </w:pPr>
            <w:r w:rsidRPr="00000A9B">
              <w:rPr>
                <w:rFonts w:ascii="Times New Roman" w:hAnsi="Times New Roman" w:cs="Times New Roman"/>
              </w:rPr>
              <w:t>Main model</w:t>
            </w:r>
          </w:p>
        </w:tc>
        <w:tc>
          <w:tcPr>
            <w:tcW w:w="0" w:type="auto"/>
            <w:vAlign w:val="center"/>
            <w:hideMark/>
          </w:tcPr>
          <w:p w14:paraId="748A22C0" w14:textId="77777777" w:rsidR="00FB4F03" w:rsidRPr="00000A9B" w:rsidRDefault="00FB4F03" w:rsidP="005E0F00">
            <w:pPr>
              <w:rPr>
                <w:rFonts w:ascii="Times New Roman" w:hAnsi="Times New Roman" w:cs="Times New Roman"/>
              </w:rPr>
            </w:pPr>
            <w:r w:rsidRPr="00000A9B">
              <w:rPr>
                <w:rFonts w:ascii="Times New Roman" w:hAnsi="Times New Roman" w:cs="Times New Roman"/>
              </w:rPr>
              <w:t>4.</w:t>
            </w:r>
            <w:r>
              <w:rPr>
                <w:rFonts w:ascii="Times New Roman" w:hAnsi="Times New Roman" w:cs="Times New Roman"/>
              </w:rPr>
              <w:t>34</w:t>
            </w:r>
            <w:r w:rsidRPr="00000A9B">
              <w:rPr>
                <w:rFonts w:ascii="Times New Roman" w:hAnsi="Times New Roman" w:cs="Times New Roman"/>
              </w:rPr>
              <w:t xml:space="preserve"> (</w:t>
            </w:r>
            <w:r>
              <w:rPr>
                <w:rFonts w:ascii="Times New Roman" w:hAnsi="Times New Roman" w:cs="Times New Roman"/>
              </w:rPr>
              <w:t>3.99-4.72</w:t>
            </w:r>
            <w:r w:rsidRPr="00000A9B">
              <w:rPr>
                <w:rFonts w:ascii="Times New Roman" w:hAnsi="Times New Roman" w:cs="Times New Roman"/>
              </w:rPr>
              <w:t>)</w:t>
            </w:r>
          </w:p>
        </w:tc>
        <w:tc>
          <w:tcPr>
            <w:tcW w:w="0" w:type="auto"/>
            <w:vAlign w:val="center"/>
            <w:hideMark/>
          </w:tcPr>
          <w:p w14:paraId="72640FC4" w14:textId="77777777" w:rsidR="00FB4F03" w:rsidRPr="00000A9B" w:rsidRDefault="00FB4F03" w:rsidP="005E0F00">
            <w:pPr>
              <w:rPr>
                <w:rFonts w:ascii="Times New Roman" w:hAnsi="Times New Roman" w:cs="Times New Roman"/>
              </w:rPr>
            </w:pPr>
            <w:r>
              <w:rPr>
                <w:rFonts w:ascii="Times New Roman" w:hAnsi="Times New Roman" w:cs="Times New Roman"/>
              </w:rPr>
              <w:t>16.4</w:t>
            </w:r>
            <w:r w:rsidRPr="00000A9B">
              <w:rPr>
                <w:rFonts w:ascii="Times New Roman" w:hAnsi="Times New Roman" w:cs="Times New Roman"/>
              </w:rPr>
              <w:t xml:space="preserve"> (</w:t>
            </w:r>
            <w:r>
              <w:rPr>
                <w:rFonts w:ascii="Times New Roman" w:hAnsi="Times New Roman" w:cs="Times New Roman"/>
              </w:rPr>
              <w:t>14.2-18.9</w:t>
            </w:r>
            <w:r w:rsidRPr="00000A9B">
              <w:rPr>
                <w:rFonts w:ascii="Times New Roman" w:hAnsi="Times New Roman" w:cs="Times New Roman"/>
              </w:rPr>
              <w:t>)</w:t>
            </w:r>
          </w:p>
        </w:tc>
      </w:tr>
      <w:tr w:rsidR="00FB4F03" w:rsidRPr="00000A9B" w14:paraId="6B016DAC" w14:textId="77777777" w:rsidTr="005E0F00">
        <w:trPr>
          <w:tblCellSpacing w:w="15" w:type="dxa"/>
        </w:trPr>
        <w:tc>
          <w:tcPr>
            <w:tcW w:w="0" w:type="auto"/>
            <w:vAlign w:val="center"/>
            <w:hideMark/>
          </w:tcPr>
          <w:p w14:paraId="21AE4F04" w14:textId="77777777" w:rsidR="00FB4F03" w:rsidRPr="00000A9B" w:rsidRDefault="00FB4F03" w:rsidP="005E0F00">
            <w:pPr>
              <w:rPr>
                <w:rFonts w:ascii="Times New Roman" w:hAnsi="Times New Roman" w:cs="Times New Roman"/>
              </w:rPr>
            </w:pPr>
            <w:r w:rsidRPr="00000A9B">
              <w:rPr>
                <w:rFonts w:ascii="Times New Roman" w:hAnsi="Times New Roman" w:cs="Times New Roman"/>
              </w:rPr>
              <w:t>Excluding comorbidities</w:t>
            </w:r>
          </w:p>
        </w:tc>
        <w:tc>
          <w:tcPr>
            <w:tcW w:w="0" w:type="auto"/>
            <w:vAlign w:val="center"/>
            <w:hideMark/>
          </w:tcPr>
          <w:p w14:paraId="371A1955" w14:textId="77777777" w:rsidR="00FB4F03" w:rsidRPr="00000A9B" w:rsidRDefault="00FB4F03" w:rsidP="005E0F00">
            <w:pPr>
              <w:rPr>
                <w:rFonts w:ascii="Times New Roman" w:hAnsi="Times New Roman" w:cs="Times New Roman"/>
              </w:rPr>
            </w:pPr>
            <w:r w:rsidRPr="00000A9B">
              <w:rPr>
                <w:rFonts w:ascii="Times New Roman" w:hAnsi="Times New Roman" w:cs="Times New Roman"/>
              </w:rPr>
              <w:t>4.30 (3.97–4.65)</w:t>
            </w:r>
          </w:p>
        </w:tc>
        <w:tc>
          <w:tcPr>
            <w:tcW w:w="0" w:type="auto"/>
            <w:vAlign w:val="center"/>
            <w:hideMark/>
          </w:tcPr>
          <w:p w14:paraId="7F4A934A" w14:textId="77777777" w:rsidR="00FB4F03" w:rsidRPr="00000A9B" w:rsidRDefault="00FB4F03" w:rsidP="005E0F00">
            <w:pPr>
              <w:rPr>
                <w:rFonts w:ascii="Times New Roman" w:hAnsi="Times New Roman" w:cs="Times New Roman"/>
              </w:rPr>
            </w:pPr>
            <w:r w:rsidRPr="00000A9B">
              <w:rPr>
                <w:rFonts w:ascii="Times New Roman" w:hAnsi="Times New Roman" w:cs="Times New Roman"/>
              </w:rPr>
              <w:t>16.2 (14.2–18.5)</w:t>
            </w:r>
          </w:p>
        </w:tc>
      </w:tr>
      <w:tr w:rsidR="00FB4F03" w:rsidRPr="00000A9B" w14:paraId="36B544BE" w14:textId="77777777" w:rsidTr="005E0F00">
        <w:trPr>
          <w:tblCellSpacing w:w="15" w:type="dxa"/>
        </w:trPr>
        <w:tc>
          <w:tcPr>
            <w:tcW w:w="0" w:type="auto"/>
            <w:vAlign w:val="center"/>
            <w:hideMark/>
          </w:tcPr>
          <w:p w14:paraId="30D95FFD" w14:textId="77777777" w:rsidR="00FB4F03" w:rsidRPr="00000A9B" w:rsidRDefault="00FB4F03" w:rsidP="005E0F00">
            <w:pPr>
              <w:rPr>
                <w:rFonts w:ascii="Times New Roman" w:hAnsi="Times New Roman" w:cs="Times New Roman"/>
              </w:rPr>
            </w:pPr>
            <w:r w:rsidRPr="00000A9B">
              <w:rPr>
                <w:rFonts w:ascii="Times New Roman" w:hAnsi="Times New Roman" w:cs="Times New Roman"/>
              </w:rPr>
              <w:t>Excluding CKD</w:t>
            </w:r>
          </w:p>
        </w:tc>
        <w:tc>
          <w:tcPr>
            <w:tcW w:w="0" w:type="auto"/>
            <w:vAlign w:val="center"/>
            <w:hideMark/>
          </w:tcPr>
          <w:p w14:paraId="1E44342B" w14:textId="77777777" w:rsidR="00FB4F03" w:rsidRPr="00000A9B" w:rsidRDefault="00FB4F03" w:rsidP="005E0F00">
            <w:pPr>
              <w:rPr>
                <w:rFonts w:ascii="Times New Roman" w:hAnsi="Times New Roman" w:cs="Times New Roman"/>
              </w:rPr>
            </w:pPr>
            <w:r w:rsidRPr="00000A9B">
              <w:rPr>
                <w:rFonts w:ascii="Times New Roman" w:hAnsi="Times New Roman" w:cs="Times New Roman"/>
              </w:rPr>
              <w:t>6.14 (5.59–6.73)</w:t>
            </w:r>
          </w:p>
        </w:tc>
        <w:tc>
          <w:tcPr>
            <w:tcW w:w="0" w:type="auto"/>
            <w:vAlign w:val="center"/>
            <w:hideMark/>
          </w:tcPr>
          <w:p w14:paraId="3992257F" w14:textId="77777777" w:rsidR="00FB4F03" w:rsidRPr="00000A9B" w:rsidRDefault="00FB4F03" w:rsidP="005E0F00">
            <w:pPr>
              <w:rPr>
                <w:rFonts w:ascii="Times New Roman" w:hAnsi="Times New Roman" w:cs="Times New Roman"/>
              </w:rPr>
            </w:pPr>
            <w:r w:rsidRPr="00000A9B">
              <w:rPr>
                <w:rFonts w:ascii="Times New Roman" w:hAnsi="Times New Roman" w:cs="Times New Roman"/>
              </w:rPr>
              <w:t>35.6 (29.9–42.4)</w:t>
            </w:r>
          </w:p>
        </w:tc>
      </w:tr>
      <w:tr w:rsidR="00FB4F03" w:rsidRPr="00000A9B" w14:paraId="1F9FCAB1" w14:textId="77777777" w:rsidTr="005E0F00">
        <w:trPr>
          <w:tblCellSpacing w:w="15" w:type="dxa"/>
        </w:trPr>
        <w:tc>
          <w:tcPr>
            <w:tcW w:w="0" w:type="auto"/>
            <w:vAlign w:val="center"/>
          </w:tcPr>
          <w:p w14:paraId="631AEB10" w14:textId="77777777" w:rsidR="00FB4F03" w:rsidRPr="00000A9B" w:rsidRDefault="00FB4F03" w:rsidP="005E0F00">
            <w:pPr>
              <w:rPr>
                <w:rFonts w:ascii="Times New Roman" w:hAnsi="Times New Roman" w:cs="Times New Roman"/>
              </w:rPr>
            </w:pPr>
            <w:r w:rsidRPr="00000A9B">
              <w:rPr>
                <w:rFonts w:ascii="Times New Roman" w:hAnsi="Times New Roman" w:cs="Times New Roman"/>
              </w:rPr>
              <w:t>Without ED variable</w:t>
            </w:r>
          </w:p>
        </w:tc>
        <w:tc>
          <w:tcPr>
            <w:tcW w:w="0" w:type="auto"/>
            <w:vAlign w:val="center"/>
          </w:tcPr>
          <w:p w14:paraId="1AB8ADF1" w14:textId="77777777" w:rsidR="00FB4F03" w:rsidRPr="00000A9B" w:rsidRDefault="00FB4F03" w:rsidP="005E0F00">
            <w:pPr>
              <w:rPr>
                <w:rFonts w:ascii="Times New Roman" w:hAnsi="Times New Roman" w:cs="Times New Roman"/>
              </w:rPr>
            </w:pPr>
            <w:r w:rsidRPr="00000A9B">
              <w:rPr>
                <w:rFonts w:ascii="Times New Roman" w:hAnsi="Times New Roman" w:cs="Times New Roman"/>
              </w:rPr>
              <w:t>4.79 (4.40-5.21)</w:t>
            </w:r>
          </w:p>
        </w:tc>
        <w:tc>
          <w:tcPr>
            <w:tcW w:w="0" w:type="auto"/>
            <w:vAlign w:val="center"/>
          </w:tcPr>
          <w:p w14:paraId="39F5A3F5" w14:textId="77777777" w:rsidR="00FB4F03" w:rsidRPr="00000A9B" w:rsidRDefault="00FB4F03" w:rsidP="005E0F00">
            <w:pPr>
              <w:rPr>
                <w:rFonts w:ascii="Times New Roman" w:hAnsi="Times New Roman" w:cs="Times New Roman"/>
              </w:rPr>
            </w:pPr>
            <w:r w:rsidRPr="00000A9B">
              <w:rPr>
                <w:rFonts w:ascii="Times New Roman" w:hAnsi="Times New Roman" w:cs="Times New Roman"/>
              </w:rPr>
              <w:t>20.8 (18.1-24.0)</w:t>
            </w:r>
          </w:p>
        </w:tc>
      </w:tr>
      <w:tr w:rsidR="00FB4F03" w:rsidRPr="00000A9B" w14:paraId="5E0E5610" w14:textId="77777777" w:rsidTr="005E0F00">
        <w:trPr>
          <w:tblCellSpacing w:w="15" w:type="dxa"/>
        </w:trPr>
        <w:tc>
          <w:tcPr>
            <w:tcW w:w="0" w:type="auto"/>
            <w:vAlign w:val="center"/>
          </w:tcPr>
          <w:p w14:paraId="502FB63A" w14:textId="77777777" w:rsidR="00FB4F03" w:rsidRPr="00000A9B" w:rsidRDefault="00FB4F03" w:rsidP="005E0F00">
            <w:pPr>
              <w:rPr>
                <w:rFonts w:ascii="Times New Roman" w:hAnsi="Times New Roman" w:cs="Times New Roman"/>
              </w:rPr>
            </w:pPr>
            <w:r w:rsidRPr="00000A9B">
              <w:rPr>
                <w:rFonts w:ascii="Times New Roman" w:hAnsi="Times New Roman" w:cs="Times New Roman"/>
              </w:rPr>
              <w:t>non-elective admission only</w:t>
            </w:r>
          </w:p>
        </w:tc>
        <w:tc>
          <w:tcPr>
            <w:tcW w:w="0" w:type="auto"/>
            <w:vAlign w:val="center"/>
          </w:tcPr>
          <w:p w14:paraId="516EA550" w14:textId="77777777" w:rsidR="00FB4F03" w:rsidRPr="00000A9B" w:rsidRDefault="00FB4F03" w:rsidP="005E0F00">
            <w:pPr>
              <w:rPr>
                <w:rFonts w:ascii="Times New Roman" w:hAnsi="Times New Roman" w:cs="Times New Roman"/>
              </w:rPr>
            </w:pPr>
            <w:r w:rsidRPr="00000A9B">
              <w:rPr>
                <w:rFonts w:ascii="Times New Roman" w:hAnsi="Times New Roman" w:cs="Times New Roman"/>
              </w:rPr>
              <w:t>4.97 (4.51-5.36)</w:t>
            </w:r>
          </w:p>
        </w:tc>
        <w:tc>
          <w:tcPr>
            <w:tcW w:w="0" w:type="auto"/>
            <w:vAlign w:val="center"/>
          </w:tcPr>
          <w:p w14:paraId="1CC8CA87" w14:textId="77777777" w:rsidR="00FB4F03" w:rsidRPr="00000A9B" w:rsidRDefault="00FB4F03" w:rsidP="005E0F00">
            <w:pPr>
              <w:rPr>
                <w:rFonts w:ascii="Times New Roman" w:hAnsi="Times New Roman" w:cs="Times New Roman"/>
              </w:rPr>
            </w:pPr>
            <w:r w:rsidRPr="00000A9B">
              <w:rPr>
                <w:rFonts w:ascii="Times New Roman" w:hAnsi="Times New Roman" w:cs="Times New Roman"/>
              </w:rPr>
              <w:t>21.9 (19.0-25.3)</w:t>
            </w:r>
          </w:p>
        </w:tc>
      </w:tr>
      <w:tr w:rsidR="00FB4F03" w:rsidRPr="00000A9B" w14:paraId="6207CF95" w14:textId="77777777" w:rsidTr="005E0F00">
        <w:trPr>
          <w:tblCellSpacing w:w="15" w:type="dxa"/>
        </w:trPr>
        <w:tc>
          <w:tcPr>
            <w:tcW w:w="0" w:type="auto"/>
            <w:vAlign w:val="center"/>
          </w:tcPr>
          <w:p w14:paraId="6708866B" w14:textId="77777777" w:rsidR="00FB4F03" w:rsidRPr="00000A9B" w:rsidRDefault="00FB4F03" w:rsidP="005E0F00">
            <w:pPr>
              <w:rPr>
                <w:rFonts w:ascii="Times New Roman" w:hAnsi="Times New Roman" w:cs="Times New Roman"/>
              </w:rPr>
            </w:pPr>
            <w:r w:rsidRPr="00000A9B">
              <w:rPr>
                <w:rFonts w:ascii="Times New Roman" w:hAnsi="Times New Roman" w:cs="Times New Roman"/>
              </w:rPr>
              <w:t>Combined admission variable</w:t>
            </w:r>
          </w:p>
        </w:tc>
        <w:tc>
          <w:tcPr>
            <w:tcW w:w="0" w:type="auto"/>
            <w:vAlign w:val="center"/>
          </w:tcPr>
          <w:p w14:paraId="4D199235" w14:textId="77777777" w:rsidR="00FB4F03" w:rsidRPr="00000A9B" w:rsidRDefault="00FB4F03" w:rsidP="005E0F00">
            <w:pPr>
              <w:rPr>
                <w:rFonts w:ascii="Times New Roman" w:hAnsi="Times New Roman" w:cs="Times New Roman"/>
              </w:rPr>
            </w:pPr>
            <w:r w:rsidRPr="00000A9B">
              <w:rPr>
                <w:rFonts w:ascii="Times New Roman" w:hAnsi="Times New Roman" w:cs="Times New Roman"/>
              </w:rPr>
              <w:t>4.79 (4.40-5.21)</w:t>
            </w:r>
          </w:p>
        </w:tc>
        <w:tc>
          <w:tcPr>
            <w:tcW w:w="0" w:type="auto"/>
            <w:vAlign w:val="center"/>
          </w:tcPr>
          <w:p w14:paraId="690AE533" w14:textId="77777777" w:rsidR="00FB4F03" w:rsidRPr="00000A9B" w:rsidRDefault="00FB4F03" w:rsidP="005E0F00">
            <w:pPr>
              <w:rPr>
                <w:rFonts w:ascii="Times New Roman" w:hAnsi="Times New Roman" w:cs="Times New Roman"/>
              </w:rPr>
            </w:pPr>
            <w:r w:rsidRPr="00000A9B">
              <w:rPr>
                <w:rFonts w:ascii="Times New Roman" w:hAnsi="Times New Roman" w:cs="Times New Roman"/>
              </w:rPr>
              <w:t>20.8 (18.1-24.0)</w:t>
            </w:r>
          </w:p>
        </w:tc>
      </w:tr>
      <w:tr w:rsidR="00FB4F03" w:rsidRPr="00000A9B" w14:paraId="4D130D1C" w14:textId="77777777" w:rsidTr="005E0F00">
        <w:trPr>
          <w:tblCellSpacing w:w="15" w:type="dxa"/>
        </w:trPr>
        <w:tc>
          <w:tcPr>
            <w:tcW w:w="0" w:type="auto"/>
            <w:vAlign w:val="center"/>
          </w:tcPr>
          <w:p w14:paraId="60B38335" w14:textId="77777777" w:rsidR="00FB4F03" w:rsidRPr="00000A9B" w:rsidRDefault="00FB4F03" w:rsidP="005E0F00">
            <w:pPr>
              <w:rPr>
                <w:rFonts w:ascii="Times New Roman" w:hAnsi="Times New Roman" w:cs="Times New Roman"/>
              </w:rPr>
            </w:pPr>
            <w:r w:rsidRPr="00000A9B">
              <w:rPr>
                <w:rFonts w:ascii="Times New Roman" w:hAnsi="Times New Roman" w:cs="Times New Roman"/>
              </w:rPr>
              <w:t>Excluding sepsis</w:t>
            </w:r>
          </w:p>
        </w:tc>
        <w:tc>
          <w:tcPr>
            <w:tcW w:w="0" w:type="auto"/>
            <w:vAlign w:val="center"/>
          </w:tcPr>
          <w:p w14:paraId="61BD80A9" w14:textId="77777777" w:rsidR="00FB4F03" w:rsidRPr="00000A9B" w:rsidRDefault="00FB4F03" w:rsidP="005E0F00">
            <w:pPr>
              <w:rPr>
                <w:rFonts w:ascii="Times New Roman" w:hAnsi="Times New Roman" w:cs="Times New Roman"/>
              </w:rPr>
            </w:pPr>
            <w:r w:rsidRPr="00000A9B">
              <w:rPr>
                <w:rFonts w:ascii="Times New Roman" w:hAnsi="Times New Roman" w:cs="Times New Roman"/>
              </w:rPr>
              <w:t>4.52 (4.13-4.95)</w:t>
            </w:r>
          </w:p>
        </w:tc>
        <w:tc>
          <w:tcPr>
            <w:tcW w:w="0" w:type="auto"/>
            <w:vAlign w:val="center"/>
          </w:tcPr>
          <w:p w14:paraId="3DFDCFA0" w14:textId="77777777" w:rsidR="00FB4F03" w:rsidRPr="00000A9B" w:rsidRDefault="00FB4F03" w:rsidP="005E0F00">
            <w:pPr>
              <w:rPr>
                <w:rFonts w:ascii="Times New Roman" w:hAnsi="Times New Roman" w:cs="Times New Roman"/>
              </w:rPr>
            </w:pPr>
            <w:r w:rsidRPr="00000A9B">
              <w:rPr>
                <w:rFonts w:ascii="Times New Roman" w:hAnsi="Times New Roman" w:cs="Times New Roman"/>
              </w:rPr>
              <w:t>19.5 (16.8-22.7)</w:t>
            </w:r>
          </w:p>
        </w:tc>
      </w:tr>
      <w:tr w:rsidR="00FB4F03" w:rsidRPr="00000A9B" w14:paraId="56923B7A" w14:textId="77777777" w:rsidTr="005E0F00">
        <w:trPr>
          <w:tblCellSpacing w:w="15" w:type="dxa"/>
        </w:trPr>
        <w:tc>
          <w:tcPr>
            <w:tcW w:w="0" w:type="auto"/>
            <w:vAlign w:val="center"/>
          </w:tcPr>
          <w:p w14:paraId="6EEAB8CC" w14:textId="77777777" w:rsidR="00FB4F03" w:rsidRPr="00000A9B" w:rsidRDefault="00FB4F03" w:rsidP="005E0F00">
            <w:pPr>
              <w:rPr>
                <w:rFonts w:ascii="Times New Roman" w:hAnsi="Times New Roman" w:cs="Times New Roman"/>
              </w:rPr>
            </w:pPr>
            <w:r w:rsidRPr="00000A9B">
              <w:rPr>
                <w:rFonts w:ascii="Times New Roman" w:hAnsi="Times New Roman" w:cs="Times New Roman"/>
              </w:rPr>
              <w:t>Primary cirrhosis diagnosis</w:t>
            </w:r>
          </w:p>
        </w:tc>
        <w:tc>
          <w:tcPr>
            <w:tcW w:w="0" w:type="auto"/>
            <w:vAlign w:val="center"/>
          </w:tcPr>
          <w:p w14:paraId="3DC04AD8" w14:textId="77777777" w:rsidR="00FB4F03" w:rsidRPr="00000A9B" w:rsidRDefault="00FB4F03" w:rsidP="005E0F00">
            <w:pPr>
              <w:rPr>
                <w:rFonts w:ascii="Times New Roman" w:hAnsi="Times New Roman" w:cs="Times New Roman"/>
              </w:rPr>
            </w:pPr>
            <w:r w:rsidRPr="00000A9B">
              <w:rPr>
                <w:rFonts w:ascii="Times New Roman" w:hAnsi="Times New Roman" w:cs="Times New Roman"/>
              </w:rPr>
              <w:t>7.97 (6.84-9.30)</w:t>
            </w:r>
          </w:p>
        </w:tc>
        <w:tc>
          <w:tcPr>
            <w:tcW w:w="0" w:type="auto"/>
            <w:vAlign w:val="center"/>
          </w:tcPr>
          <w:p w14:paraId="15040721" w14:textId="77777777" w:rsidR="00FB4F03" w:rsidRPr="00000A9B" w:rsidRDefault="00FB4F03" w:rsidP="005E0F00">
            <w:pPr>
              <w:rPr>
                <w:rFonts w:ascii="Times New Roman" w:hAnsi="Times New Roman" w:cs="Times New Roman"/>
              </w:rPr>
            </w:pPr>
            <w:r w:rsidRPr="00000A9B">
              <w:rPr>
                <w:rFonts w:ascii="Times New Roman" w:hAnsi="Times New Roman" w:cs="Times New Roman"/>
              </w:rPr>
              <w:t>35.5 (28.3-44.6)</w:t>
            </w:r>
          </w:p>
        </w:tc>
      </w:tr>
    </w:tbl>
    <w:p w14:paraId="4300A3E4" w14:textId="77777777" w:rsidR="00FB4F03" w:rsidRPr="00000A9B" w:rsidRDefault="00FB4F03" w:rsidP="00FB4F03">
      <w:pPr>
        <w:rPr>
          <w:rFonts w:ascii="Times New Roman" w:hAnsi="Times New Roman" w:cs="Times New Roman"/>
        </w:rPr>
      </w:pPr>
      <w:r w:rsidRPr="00000A9B">
        <w:rPr>
          <w:rFonts w:ascii="Times New Roman" w:hAnsi="Times New Roman" w:cs="Times New Roman"/>
        </w:rPr>
        <w:t xml:space="preserve">Supplementary Table </w:t>
      </w:r>
      <w:r>
        <w:rPr>
          <w:rFonts w:ascii="Times New Roman" w:hAnsi="Times New Roman" w:cs="Times New Roman"/>
        </w:rPr>
        <w:t>3</w:t>
      </w:r>
      <w:r w:rsidRPr="00000A9B">
        <w:rPr>
          <w:rFonts w:ascii="Times New Roman" w:hAnsi="Times New Roman" w:cs="Times New Roman"/>
        </w:rPr>
        <w:t xml:space="preserve"> evaluates whether the association between AKI severity and in-hospital mortality remains consistent across alternative model specifications and cohort restrictions. Sensitivity analyses included exclusion of comorbidities, restriction to hospitalizations without chronic kidney disease (CKD), exclusion of admission characteristics, restriction to non-elective admissions, alternative specification of admission variables, exclusion of hospitalizations with sepsis, and restriction to hospitalizations with cirrhosis as the primary diagnosis.</w:t>
      </w:r>
    </w:p>
    <w:p w14:paraId="5A7883BA" w14:textId="77777777" w:rsidR="00670AD5" w:rsidRDefault="00670AD5"/>
    <w:sectPr w:rsidR="00670A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F03"/>
    <w:rsid w:val="0043400F"/>
    <w:rsid w:val="0044632C"/>
    <w:rsid w:val="00670AD5"/>
    <w:rsid w:val="00DB5DD9"/>
    <w:rsid w:val="00FB4F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6ED31"/>
  <w15:chartTrackingRefBased/>
  <w15:docId w15:val="{E2EB2056-DF31-4F04-99A3-E3B731654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F03"/>
  </w:style>
  <w:style w:type="paragraph" w:styleId="Heading1">
    <w:name w:val="heading 1"/>
    <w:basedOn w:val="Normal"/>
    <w:next w:val="Normal"/>
    <w:link w:val="Heading1Char"/>
    <w:uiPriority w:val="9"/>
    <w:qFormat/>
    <w:rsid w:val="00FB4F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4F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4F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4F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4F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4F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4F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4F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4F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4F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4F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4F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4F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4F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4F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4F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4F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4F03"/>
    <w:rPr>
      <w:rFonts w:eastAsiaTheme="majorEastAsia" w:cstheme="majorBidi"/>
      <w:color w:val="272727" w:themeColor="text1" w:themeTint="D8"/>
    </w:rPr>
  </w:style>
  <w:style w:type="paragraph" w:styleId="Title">
    <w:name w:val="Title"/>
    <w:basedOn w:val="Normal"/>
    <w:next w:val="Normal"/>
    <w:link w:val="TitleChar"/>
    <w:uiPriority w:val="10"/>
    <w:qFormat/>
    <w:rsid w:val="00FB4F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4F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4F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4F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4F03"/>
    <w:pPr>
      <w:spacing w:before="160"/>
      <w:jc w:val="center"/>
    </w:pPr>
    <w:rPr>
      <w:i/>
      <w:iCs/>
      <w:color w:val="404040" w:themeColor="text1" w:themeTint="BF"/>
    </w:rPr>
  </w:style>
  <w:style w:type="character" w:customStyle="1" w:styleId="QuoteChar">
    <w:name w:val="Quote Char"/>
    <w:basedOn w:val="DefaultParagraphFont"/>
    <w:link w:val="Quote"/>
    <w:uiPriority w:val="29"/>
    <w:rsid w:val="00FB4F03"/>
    <w:rPr>
      <w:i/>
      <w:iCs/>
      <w:color w:val="404040" w:themeColor="text1" w:themeTint="BF"/>
    </w:rPr>
  </w:style>
  <w:style w:type="paragraph" w:styleId="ListParagraph">
    <w:name w:val="List Paragraph"/>
    <w:basedOn w:val="Normal"/>
    <w:uiPriority w:val="34"/>
    <w:qFormat/>
    <w:rsid w:val="00FB4F03"/>
    <w:pPr>
      <w:ind w:left="720"/>
      <w:contextualSpacing/>
    </w:pPr>
  </w:style>
  <w:style w:type="character" w:styleId="IntenseEmphasis">
    <w:name w:val="Intense Emphasis"/>
    <w:basedOn w:val="DefaultParagraphFont"/>
    <w:uiPriority w:val="21"/>
    <w:qFormat/>
    <w:rsid w:val="00FB4F03"/>
    <w:rPr>
      <w:i/>
      <w:iCs/>
      <w:color w:val="0F4761" w:themeColor="accent1" w:themeShade="BF"/>
    </w:rPr>
  </w:style>
  <w:style w:type="paragraph" w:styleId="IntenseQuote">
    <w:name w:val="Intense Quote"/>
    <w:basedOn w:val="Normal"/>
    <w:next w:val="Normal"/>
    <w:link w:val="IntenseQuoteChar"/>
    <w:uiPriority w:val="30"/>
    <w:qFormat/>
    <w:rsid w:val="00FB4F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4F03"/>
    <w:rPr>
      <w:i/>
      <w:iCs/>
      <w:color w:val="0F4761" w:themeColor="accent1" w:themeShade="BF"/>
    </w:rPr>
  </w:style>
  <w:style w:type="character" w:styleId="IntenseReference">
    <w:name w:val="Intense Reference"/>
    <w:basedOn w:val="DefaultParagraphFont"/>
    <w:uiPriority w:val="32"/>
    <w:qFormat/>
    <w:rsid w:val="00FB4F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1035</Characters>
  <Application>Microsoft Office Word</Application>
  <DocSecurity>0</DocSecurity>
  <Lines>79</Lines>
  <Paragraphs>59</Paragraphs>
  <ScaleCrop>false</ScaleCrop>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Brent Tai</dc:creator>
  <cp:keywords/>
  <dc:description/>
  <cp:lastModifiedBy>Brent Tai</cp:lastModifiedBy>
  <cp:revision>1</cp:revision>
  <dcterms:created xsi:type="dcterms:W3CDTF">2026-03-26T02:51:00Z</dcterms:created>
  <dcterms:modified xsi:type="dcterms:W3CDTF">2026-03-26T02:51:00Z</dcterms:modified>
</cp:coreProperties>
</file>