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474C4" w14:textId="77777777" w:rsidR="00F23291" w:rsidRPr="00000A9B" w:rsidRDefault="00F23291" w:rsidP="00F23291">
      <w:pPr>
        <w:rPr>
          <w:rFonts w:ascii="Times New Roman" w:hAnsi="Times New Roman" w:cs="Times New Roman"/>
        </w:rPr>
      </w:pPr>
      <w:r w:rsidRPr="00000A9B">
        <w:rPr>
          <w:rFonts w:ascii="Times New Roman" w:hAnsi="Times New Roman" w:cs="Times New Roman"/>
        </w:rPr>
        <w:t xml:space="preserve">Supplementary Table </w:t>
      </w:r>
      <w:r>
        <w:rPr>
          <w:rFonts w:ascii="Times New Roman" w:hAnsi="Times New Roman" w:cs="Times New Roman"/>
        </w:rPr>
        <w:t>2</w:t>
      </w:r>
      <w:r w:rsidRPr="00000A9B">
        <w:rPr>
          <w:rFonts w:ascii="Times New Roman" w:hAnsi="Times New Roman" w:cs="Times New Roman"/>
        </w:rPr>
        <w:t>. Parsimonious Model Assessing the Association Between AKI Severity and In-Hospital Mortality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5"/>
        <w:gridCol w:w="1414"/>
        <w:gridCol w:w="1140"/>
        <w:gridCol w:w="836"/>
      </w:tblGrid>
      <w:tr w:rsidR="00F23291" w:rsidRPr="00000A9B" w14:paraId="7AA27F96" w14:textId="77777777" w:rsidTr="005E0F00">
        <w:trPr>
          <w:tblHeader/>
          <w:tblCellSpacing w:w="15" w:type="dxa"/>
        </w:trPr>
        <w:tc>
          <w:tcPr>
            <w:tcW w:w="0" w:type="auto"/>
            <w:vAlign w:val="center"/>
            <w:hideMark/>
          </w:tcPr>
          <w:p w14:paraId="5DB043A4" w14:textId="77777777" w:rsidR="00F23291" w:rsidRPr="00000A9B" w:rsidRDefault="00F23291" w:rsidP="005E0F00">
            <w:pPr>
              <w:rPr>
                <w:rFonts w:ascii="Times New Roman" w:hAnsi="Times New Roman" w:cs="Times New Roman"/>
                <w:b/>
                <w:bCs/>
              </w:rPr>
            </w:pPr>
            <w:r w:rsidRPr="00000A9B">
              <w:rPr>
                <w:rFonts w:ascii="Times New Roman" w:hAnsi="Times New Roman" w:cs="Times New Roman"/>
                <w:b/>
                <w:bCs/>
              </w:rPr>
              <w:t>Variable</w:t>
            </w:r>
          </w:p>
        </w:tc>
        <w:tc>
          <w:tcPr>
            <w:tcW w:w="0" w:type="auto"/>
            <w:vAlign w:val="center"/>
            <w:hideMark/>
          </w:tcPr>
          <w:p w14:paraId="4E1FCC82" w14:textId="77777777" w:rsidR="00F23291" w:rsidRPr="00000A9B" w:rsidRDefault="00F23291" w:rsidP="005E0F00">
            <w:pPr>
              <w:rPr>
                <w:rFonts w:ascii="Times New Roman" w:hAnsi="Times New Roman" w:cs="Times New Roman"/>
                <w:b/>
                <w:bCs/>
              </w:rPr>
            </w:pPr>
            <w:r w:rsidRPr="00000A9B">
              <w:rPr>
                <w:rFonts w:ascii="Times New Roman" w:hAnsi="Times New Roman" w:cs="Times New Roman"/>
                <w:b/>
                <w:bCs/>
              </w:rPr>
              <w:t>Adjusted OR</w:t>
            </w:r>
          </w:p>
        </w:tc>
        <w:tc>
          <w:tcPr>
            <w:tcW w:w="0" w:type="auto"/>
            <w:vAlign w:val="center"/>
            <w:hideMark/>
          </w:tcPr>
          <w:p w14:paraId="34F58094" w14:textId="77777777" w:rsidR="00F23291" w:rsidRPr="00000A9B" w:rsidRDefault="00F23291" w:rsidP="005E0F00">
            <w:pPr>
              <w:rPr>
                <w:rFonts w:ascii="Times New Roman" w:hAnsi="Times New Roman" w:cs="Times New Roman"/>
                <w:b/>
                <w:bCs/>
              </w:rPr>
            </w:pPr>
            <w:r w:rsidRPr="00000A9B">
              <w:rPr>
                <w:rFonts w:ascii="Times New Roman" w:hAnsi="Times New Roman" w:cs="Times New Roman"/>
                <w:b/>
                <w:bCs/>
              </w:rPr>
              <w:t>95% CI</w:t>
            </w:r>
          </w:p>
        </w:tc>
        <w:tc>
          <w:tcPr>
            <w:tcW w:w="0" w:type="auto"/>
            <w:vAlign w:val="center"/>
            <w:hideMark/>
          </w:tcPr>
          <w:p w14:paraId="49527014" w14:textId="77777777" w:rsidR="00F23291" w:rsidRPr="00000A9B" w:rsidRDefault="00F23291" w:rsidP="005E0F00">
            <w:pPr>
              <w:rPr>
                <w:rFonts w:ascii="Times New Roman" w:hAnsi="Times New Roman" w:cs="Times New Roman"/>
                <w:b/>
                <w:bCs/>
              </w:rPr>
            </w:pPr>
            <w:r w:rsidRPr="00000A9B">
              <w:rPr>
                <w:rFonts w:ascii="Times New Roman" w:hAnsi="Times New Roman" w:cs="Times New Roman"/>
                <w:b/>
                <w:bCs/>
              </w:rPr>
              <w:t>p-value</w:t>
            </w:r>
          </w:p>
        </w:tc>
      </w:tr>
      <w:tr w:rsidR="00F23291" w:rsidRPr="00000A9B" w14:paraId="666FD615" w14:textId="77777777" w:rsidTr="005E0F00">
        <w:trPr>
          <w:tblCellSpacing w:w="15" w:type="dxa"/>
        </w:trPr>
        <w:tc>
          <w:tcPr>
            <w:tcW w:w="0" w:type="auto"/>
            <w:vAlign w:val="center"/>
            <w:hideMark/>
          </w:tcPr>
          <w:p w14:paraId="470592E8" w14:textId="77777777" w:rsidR="00F23291" w:rsidRPr="005357AD" w:rsidRDefault="00F23291" w:rsidP="005E0F00">
            <w:pPr>
              <w:rPr>
                <w:rFonts w:ascii="Times New Roman" w:hAnsi="Times New Roman" w:cs="Times New Roman"/>
              </w:rPr>
            </w:pPr>
            <w:r w:rsidRPr="005357AD">
              <w:rPr>
                <w:rFonts w:ascii="Times New Roman" w:hAnsi="Times New Roman" w:cs="Times New Roman"/>
              </w:rPr>
              <w:t>No AKI</w:t>
            </w:r>
          </w:p>
        </w:tc>
        <w:tc>
          <w:tcPr>
            <w:tcW w:w="0" w:type="auto"/>
            <w:vAlign w:val="center"/>
            <w:hideMark/>
          </w:tcPr>
          <w:p w14:paraId="3BE19A09" w14:textId="77777777" w:rsidR="00F23291" w:rsidRPr="005357AD" w:rsidRDefault="00F23291" w:rsidP="005E0F00">
            <w:pPr>
              <w:rPr>
                <w:rFonts w:ascii="Times New Roman" w:hAnsi="Times New Roman" w:cs="Times New Roman"/>
              </w:rPr>
            </w:pPr>
            <w:r w:rsidRPr="005357AD">
              <w:rPr>
                <w:rFonts w:ascii="Times New Roman" w:hAnsi="Times New Roman" w:cs="Times New Roman"/>
              </w:rPr>
              <w:t>Reference</w:t>
            </w:r>
          </w:p>
        </w:tc>
        <w:tc>
          <w:tcPr>
            <w:tcW w:w="0" w:type="auto"/>
            <w:vAlign w:val="center"/>
            <w:hideMark/>
          </w:tcPr>
          <w:p w14:paraId="58DF173F" w14:textId="77777777" w:rsidR="00F23291" w:rsidRPr="005357AD" w:rsidRDefault="00F23291" w:rsidP="005E0F00">
            <w:pPr>
              <w:rPr>
                <w:rFonts w:ascii="Times New Roman" w:hAnsi="Times New Roman" w:cs="Times New Roman"/>
              </w:rPr>
            </w:pPr>
            <w:r w:rsidRPr="005357AD">
              <w:rPr>
                <w:rFonts w:ascii="Times New Roman" w:hAnsi="Times New Roman" w:cs="Times New Roman"/>
              </w:rPr>
              <w:t>—</w:t>
            </w:r>
          </w:p>
        </w:tc>
        <w:tc>
          <w:tcPr>
            <w:tcW w:w="0" w:type="auto"/>
            <w:vAlign w:val="center"/>
            <w:hideMark/>
          </w:tcPr>
          <w:p w14:paraId="018BACC6" w14:textId="77777777" w:rsidR="00F23291" w:rsidRPr="00000A9B" w:rsidRDefault="00F23291" w:rsidP="005E0F00">
            <w:pPr>
              <w:rPr>
                <w:rFonts w:ascii="Times New Roman" w:hAnsi="Times New Roman" w:cs="Times New Roman"/>
              </w:rPr>
            </w:pPr>
            <w:r w:rsidRPr="00000A9B">
              <w:rPr>
                <w:rFonts w:ascii="Times New Roman" w:hAnsi="Times New Roman" w:cs="Times New Roman"/>
              </w:rPr>
              <w:t>—</w:t>
            </w:r>
          </w:p>
        </w:tc>
      </w:tr>
      <w:tr w:rsidR="00F23291" w:rsidRPr="00000A9B" w14:paraId="33431EB7" w14:textId="77777777" w:rsidTr="005E0F00">
        <w:trPr>
          <w:tblCellSpacing w:w="15" w:type="dxa"/>
        </w:trPr>
        <w:tc>
          <w:tcPr>
            <w:tcW w:w="0" w:type="auto"/>
            <w:vAlign w:val="center"/>
            <w:hideMark/>
          </w:tcPr>
          <w:p w14:paraId="6B74DFA2" w14:textId="77777777" w:rsidR="00F23291" w:rsidRPr="005357AD" w:rsidRDefault="00F23291" w:rsidP="005E0F00">
            <w:pPr>
              <w:rPr>
                <w:rFonts w:ascii="Times New Roman" w:hAnsi="Times New Roman" w:cs="Times New Roman"/>
              </w:rPr>
            </w:pPr>
            <w:r w:rsidRPr="005357AD">
              <w:rPr>
                <w:rFonts w:ascii="Times New Roman" w:hAnsi="Times New Roman" w:cs="Times New Roman"/>
              </w:rPr>
              <w:t>AKI (non-dialysis)</w:t>
            </w:r>
          </w:p>
        </w:tc>
        <w:tc>
          <w:tcPr>
            <w:tcW w:w="0" w:type="auto"/>
            <w:vAlign w:val="center"/>
            <w:hideMark/>
          </w:tcPr>
          <w:p w14:paraId="7DB446C1" w14:textId="77777777" w:rsidR="00F23291" w:rsidRPr="005357AD" w:rsidRDefault="00F23291" w:rsidP="005E0F00">
            <w:pPr>
              <w:rPr>
                <w:rFonts w:ascii="Times New Roman" w:hAnsi="Times New Roman" w:cs="Times New Roman"/>
              </w:rPr>
            </w:pPr>
            <w:r w:rsidRPr="005357AD">
              <w:rPr>
                <w:rFonts w:ascii="Times New Roman" w:hAnsi="Times New Roman" w:cs="Times New Roman"/>
              </w:rPr>
              <w:t>4.82</w:t>
            </w:r>
          </w:p>
        </w:tc>
        <w:tc>
          <w:tcPr>
            <w:tcW w:w="0" w:type="auto"/>
            <w:vAlign w:val="center"/>
            <w:hideMark/>
          </w:tcPr>
          <w:p w14:paraId="080B5287" w14:textId="77777777" w:rsidR="00F23291" w:rsidRPr="005357AD" w:rsidRDefault="00F23291" w:rsidP="005E0F00">
            <w:pPr>
              <w:rPr>
                <w:rFonts w:ascii="Times New Roman" w:hAnsi="Times New Roman" w:cs="Times New Roman"/>
              </w:rPr>
            </w:pPr>
            <w:r w:rsidRPr="005357AD">
              <w:rPr>
                <w:rFonts w:ascii="Times New Roman" w:hAnsi="Times New Roman" w:cs="Times New Roman"/>
              </w:rPr>
              <w:t>4.46 – 5.21</w:t>
            </w:r>
          </w:p>
        </w:tc>
        <w:tc>
          <w:tcPr>
            <w:tcW w:w="0" w:type="auto"/>
            <w:vAlign w:val="center"/>
            <w:hideMark/>
          </w:tcPr>
          <w:p w14:paraId="3569B4A0" w14:textId="77777777" w:rsidR="00F23291" w:rsidRPr="00000A9B" w:rsidRDefault="00F23291" w:rsidP="005E0F00">
            <w:pPr>
              <w:rPr>
                <w:rFonts w:ascii="Times New Roman" w:hAnsi="Times New Roman" w:cs="Times New Roman"/>
              </w:rPr>
            </w:pPr>
            <w:r w:rsidRPr="00000A9B">
              <w:rPr>
                <w:rFonts w:ascii="Times New Roman" w:hAnsi="Times New Roman" w:cs="Times New Roman"/>
              </w:rPr>
              <w:t>&lt;0.001</w:t>
            </w:r>
          </w:p>
        </w:tc>
      </w:tr>
      <w:tr w:rsidR="00F23291" w:rsidRPr="00000A9B" w14:paraId="21F41534" w14:textId="77777777" w:rsidTr="005E0F00">
        <w:trPr>
          <w:tblCellSpacing w:w="15" w:type="dxa"/>
        </w:trPr>
        <w:tc>
          <w:tcPr>
            <w:tcW w:w="0" w:type="auto"/>
            <w:vAlign w:val="center"/>
            <w:hideMark/>
          </w:tcPr>
          <w:p w14:paraId="30FE1BFD" w14:textId="77777777" w:rsidR="00F23291" w:rsidRPr="005357AD" w:rsidRDefault="00F23291" w:rsidP="005E0F00">
            <w:pPr>
              <w:rPr>
                <w:rFonts w:ascii="Times New Roman" w:hAnsi="Times New Roman" w:cs="Times New Roman"/>
              </w:rPr>
            </w:pPr>
            <w:r w:rsidRPr="005357AD">
              <w:rPr>
                <w:rFonts w:ascii="Times New Roman" w:hAnsi="Times New Roman" w:cs="Times New Roman"/>
              </w:rPr>
              <w:t>AKI requiring dialysis (AKI-D)</w:t>
            </w:r>
          </w:p>
        </w:tc>
        <w:tc>
          <w:tcPr>
            <w:tcW w:w="0" w:type="auto"/>
            <w:vAlign w:val="center"/>
            <w:hideMark/>
          </w:tcPr>
          <w:p w14:paraId="1F8473A8" w14:textId="77777777" w:rsidR="00F23291" w:rsidRPr="005357AD" w:rsidRDefault="00F23291" w:rsidP="005E0F00">
            <w:pPr>
              <w:rPr>
                <w:rFonts w:ascii="Times New Roman" w:hAnsi="Times New Roman" w:cs="Times New Roman"/>
              </w:rPr>
            </w:pPr>
            <w:r w:rsidRPr="005357AD">
              <w:rPr>
                <w:rFonts w:ascii="Times New Roman" w:hAnsi="Times New Roman" w:cs="Times New Roman"/>
              </w:rPr>
              <w:t>21.1</w:t>
            </w:r>
          </w:p>
        </w:tc>
        <w:tc>
          <w:tcPr>
            <w:tcW w:w="0" w:type="auto"/>
            <w:vAlign w:val="center"/>
            <w:hideMark/>
          </w:tcPr>
          <w:p w14:paraId="3755B718" w14:textId="77777777" w:rsidR="00F23291" w:rsidRPr="005357AD" w:rsidRDefault="00F23291" w:rsidP="005E0F00">
            <w:pPr>
              <w:rPr>
                <w:rFonts w:ascii="Times New Roman" w:hAnsi="Times New Roman" w:cs="Times New Roman"/>
              </w:rPr>
            </w:pPr>
            <w:r w:rsidRPr="005357AD">
              <w:rPr>
                <w:rFonts w:ascii="Times New Roman" w:hAnsi="Times New Roman" w:cs="Times New Roman"/>
              </w:rPr>
              <w:t>18.6 – 23.8</w:t>
            </w:r>
          </w:p>
        </w:tc>
        <w:tc>
          <w:tcPr>
            <w:tcW w:w="0" w:type="auto"/>
            <w:vAlign w:val="center"/>
            <w:hideMark/>
          </w:tcPr>
          <w:p w14:paraId="6E5DDCFF" w14:textId="77777777" w:rsidR="00F23291" w:rsidRPr="00000A9B" w:rsidRDefault="00F23291" w:rsidP="005E0F00">
            <w:pPr>
              <w:rPr>
                <w:rFonts w:ascii="Times New Roman" w:hAnsi="Times New Roman" w:cs="Times New Roman"/>
              </w:rPr>
            </w:pPr>
            <w:r w:rsidRPr="00000A9B">
              <w:rPr>
                <w:rFonts w:ascii="Times New Roman" w:hAnsi="Times New Roman" w:cs="Times New Roman"/>
              </w:rPr>
              <w:t>&lt;0.001</w:t>
            </w:r>
          </w:p>
        </w:tc>
      </w:tr>
      <w:tr w:rsidR="00F23291" w:rsidRPr="00000A9B" w14:paraId="69056071" w14:textId="77777777" w:rsidTr="005E0F00">
        <w:trPr>
          <w:tblCellSpacing w:w="15" w:type="dxa"/>
        </w:trPr>
        <w:tc>
          <w:tcPr>
            <w:tcW w:w="0" w:type="auto"/>
            <w:vAlign w:val="center"/>
            <w:hideMark/>
          </w:tcPr>
          <w:p w14:paraId="2BDE3B64" w14:textId="77777777" w:rsidR="00F23291" w:rsidRPr="00000A9B" w:rsidRDefault="00F23291" w:rsidP="005E0F00">
            <w:pPr>
              <w:rPr>
                <w:rFonts w:ascii="Times New Roman" w:hAnsi="Times New Roman" w:cs="Times New Roman"/>
              </w:rPr>
            </w:pPr>
            <w:r w:rsidRPr="00000A9B">
              <w:rPr>
                <w:rFonts w:ascii="Times New Roman" w:hAnsi="Times New Roman" w:cs="Times New Roman"/>
              </w:rPr>
              <w:t>Age (per year)</w:t>
            </w:r>
          </w:p>
        </w:tc>
        <w:tc>
          <w:tcPr>
            <w:tcW w:w="0" w:type="auto"/>
            <w:vAlign w:val="center"/>
            <w:hideMark/>
          </w:tcPr>
          <w:p w14:paraId="07993A75" w14:textId="77777777" w:rsidR="00F23291" w:rsidRPr="00000A9B" w:rsidRDefault="00F23291" w:rsidP="005E0F00">
            <w:pPr>
              <w:rPr>
                <w:rFonts w:ascii="Times New Roman" w:hAnsi="Times New Roman" w:cs="Times New Roman"/>
              </w:rPr>
            </w:pPr>
            <w:r w:rsidRPr="00000A9B">
              <w:rPr>
                <w:rFonts w:ascii="Times New Roman" w:hAnsi="Times New Roman" w:cs="Times New Roman"/>
              </w:rPr>
              <w:t>1.01</w:t>
            </w:r>
          </w:p>
        </w:tc>
        <w:tc>
          <w:tcPr>
            <w:tcW w:w="0" w:type="auto"/>
            <w:vAlign w:val="center"/>
            <w:hideMark/>
          </w:tcPr>
          <w:p w14:paraId="1C6446CA" w14:textId="77777777" w:rsidR="00F23291" w:rsidRPr="00000A9B" w:rsidRDefault="00F23291" w:rsidP="005E0F00">
            <w:pPr>
              <w:rPr>
                <w:rFonts w:ascii="Times New Roman" w:hAnsi="Times New Roman" w:cs="Times New Roman"/>
              </w:rPr>
            </w:pPr>
            <w:r w:rsidRPr="00000A9B">
              <w:rPr>
                <w:rFonts w:ascii="Times New Roman" w:hAnsi="Times New Roman" w:cs="Times New Roman"/>
              </w:rPr>
              <w:t>1.01 – 1.02</w:t>
            </w:r>
          </w:p>
        </w:tc>
        <w:tc>
          <w:tcPr>
            <w:tcW w:w="0" w:type="auto"/>
            <w:vAlign w:val="center"/>
            <w:hideMark/>
          </w:tcPr>
          <w:p w14:paraId="4DFC7445" w14:textId="77777777" w:rsidR="00F23291" w:rsidRPr="00000A9B" w:rsidRDefault="00F23291" w:rsidP="005E0F00">
            <w:pPr>
              <w:rPr>
                <w:rFonts w:ascii="Times New Roman" w:hAnsi="Times New Roman" w:cs="Times New Roman"/>
              </w:rPr>
            </w:pPr>
            <w:r w:rsidRPr="00000A9B">
              <w:rPr>
                <w:rFonts w:ascii="Times New Roman" w:hAnsi="Times New Roman" w:cs="Times New Roman"/>
              </w:rPr>
              <w:t>&lt;0.001</w:t>
            </w:r>
          </w:p>
        </w:tc>
      </w:tr>
      <w:tr w:rsidR="00F23291" w:rsidRPr="00000A9B" w14:paraId="2CDFEF1F" w14:textId="77777777" w:rsidTr="005E0F00">
        <w:trPr>
          <w:tblCellSpacing w:w="15" w:type="dxa"/>
        </w:trPr>
        <w:tc>
          <w:tcPr>
            <w:tcW w:w="0" w:type="auto"/>
            <w:vAlign w:val="center"/>
            <w:hideMark/>
          </w:tcPr>
          <w:p w14:paraId="0E51C60A" w14:textId="77777777" w:rsidR="00F23291" w:rsidRPr="00000A9B" w:rsidRDefault="00F23291" w:rsidP="005E0F00">
            <w:pPr>
              <w:rPr>
                <w:rFonts w:ascii="Times New Roman" w:hAnsi="Times New Roman" w:cs="Times New Roman"/>
              </w:rPr>
            </w:pPr>
            <w:r w:rsidRPr="00000A9B">
              <w:rPr>
                <w:rFonts w:ascii="Times New Roman" w:hAnsi="Times New Roman" w:cs="Times New Roman"/>
              </w:rPr>
              <w:t>Female (vs male)</w:t>
            </w:r>
          </w:p>
        </w:tc>
        <w:tc>
          <w:tcPr>
            <w:tcW w:w="0" w:type="auto"/>
            <w:vAlign w:val="center"/>
            <w:hideMark/>
          </w:tcPr>
          <w:p w14:paraId="72273231" w14:textId="77777777" w:rsidR="00F23291" w:rsidRPr="00000A9B" w:rsidRDefault="00F23291" w:rsidP="005E0F00">
            <w:pPr>
              <w:rPr>
                <w:rFonts w:ascii="Times New Roman" w:hAnsi="Times New Roman" w:cs="Times New Roman"/>
              </w:rPr>
            </w:pPr>
            <w:r w:rsidRPr="00000A9B">
              <w:rPr>
                <w:rFonts w:ascii="Times New Roman" w:hAnsi="Times New Roman" w:cs="Times New Roman"/>
              </w:rPr>
              <w:t>1.01</w:t>
            </w:r>
          </w:p>
        </w:tc>
        <w:tc>
          <w:tcPr>
            <w:tcW w:w="0" w:type="auto"/>
            <w:vAlign w:val="center"/>
            <w:hideMark/>
          </w:tcPr>
          <w:p w14:paraId="64BD635B" w14:textId="77777777" w:rsidR="00F23291" w:rsidRPr="00000A9B" w:rsidRDefault="00F23291" w:rsidP="005E0F00">
            <w:pPr>
              <w:rPr>
                <w:rFonts w:ascii="Times New Roman" w:hAnsi="Times New Roman" w:cs="Times New Roman"/>
              </w:rPr>
            </w:pPr>
            <w:r w:rsidRPr="00000A9B">
              <w:rPr>
                <w:rFonts w:ascii="Times New Roman" w:hAnsi="Times New Roman" w:cs="Times New Roman"/>
              </w:rPr>
              <w:t>0.94 – 1.08</w:t>
            </w:r>
          </w:p>
        </w:tc>
        <w:tc>
          <w:tcPr>
            <w:tcW w:w="0" w:type="auto"/>
            <w:vAlign w:val="center"/>
            <w:hideMark/>
          </w:tcPr>
          <w:p w14:paraId="50998714" w14:textId="77777777" w:rsidR="00F23291" w:rsidRPr="00000A9B" w:rsidRDefault="00F23291" w:rsidP="005E0F00">
            <w:pPr>
              <w:rPr>
                <w:rFonts w:ascii="Times New Roman" w:hAnsi="Times New Roman" w:cs="Times New Roman"/>
              </w:rPr>
            </w:pPr>
            <w:r w:rsidRPr="00000A9B">
              <w:rPr>
                <w:rFonts w:ascii="Times New Roman" w:hAnsi="Times New Roman" w:cs="Times New Roman"/>
              </w:rPr>
              <w:t>0.69</w:t>
            </w:r>
          </w:p>
        </w:tc>
      </w:tr>
    </w:tbl>
    <w:p w14:paraId="25E53E79" w14:textId="4BD4D5EF" w:rsidR="00F23291" w:rsidRPr="00000A9B" w:rsidRDefault="00F23291" w:rsidP="00F23291">
      <w:pPr>
        <w:rPr>
          <w:rFonts w:ascii="Times New Roman" w:hAnsi="Times New Roman" w:cs="Times New Roman"/>
        </w:rPr>
      </w:pPr>
      <w:r w:rsidRPr="00000A9B">
        <w:rPr>
          <w:rFonts w:ascii="Times New Roman" w:hAnsi="Times New Roman" w:cs="Times New Roman"/>
        </w:rPr>
        <w:t xml:space="preserve">Supplementary Table </w:t>
      </w:r>
      <w:r>
        <w:rPr>
          <w:rFonts w:ascii="Times New Roman" w:hAnsi="Times New Roman" w:cs="Times New Roman"/>
        </w:rPr>
        <w:t>2</w:t>
      </w:r>
      <w:r w:rsidRPr="00000A9B">
        <w:rPr>
          <w:rFonts w:ascii="Times New Roman" w:hAnsi="Times New Roman" w:cs="Times New Roman"/>
        </w:rPr>
        <w:t xml:space="preserve"> presents result from a survey-weighted multivariable logistic regression model evaluating the association between AKI severity and in-hospital mortality using a parsimonious set of covariates, including age and sex. This model was constructed to assess the consistency of the association under minimal adjustment. Estimates are reported as adjusted odds ratios (ORs) with 95% confidence intervals (CIs), using no AKI as the reference group.</w:t>
      </w:r>
    </w:p>
    <w:p w14:paraId="21C11F41" w14:textId="77777777" w:rsidR="00670AD5" w:rsidRDefault="00670AD5"/>
    <w:sectPr w:rsidR="00670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91"/>
    <w:rsid w:val="0043400F"/>
    <w:rsid w:val="0044632C"/>
    <w:rsid w:val="005357AD"/>
    <w:rsid w:val="00670AD5"/>
    <w:rsid w:val="00DB5DD9"/>
    <w:rsid w:val="00F23291"/>
    <w:rsid w:val="00F849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0D28"/>
  <w15:chartTrackingRefBased/>
  <w15:docId w15:val="{E1890EC9-CD45-46EF-8F07-DD231CD4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1"/>
  </w:style>
  <w:style w:type="paragraph" w:styleId="Heading1">
    <w:name w:val="heading 1"/>
    <w:basedOn w:val="Normal"/>
    <w:next w:val="Normal"/>
    <w:link w:val="Heading1Char"/>
    <w:uiPriority w:val="9"/>
    <w:qFormat/>
    <w:rsid w:val="00F23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291"/>
    <w:rPr>
      <w:rFonts w:eastAsiaTheme="majorEastAsia" w:cstheme="majorBidi"/>
      <w:color w:val="272727" w:themeColor="text1" w:themeTint="D8"/>
    </w:rPr>
  </w:style>
  <w:style w:type="paragraph" w:styleId="Title">
    <w:name w:val="Title"/>
    <w:basedOn w:val="Normal"/>
    <w:next w:val="Normal"/>
    <w:link w:val="TitleChar"/>
    <w:uiPriority w:val="10"/>
    <w:qFormat/>
    <w:rsid w:val="00F23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291"/>
    <w:pPr>
      <w:spacing w:before="160"/>
      <w:jc w:val="center"/>
    </w:pPr>
    <w:rPr>
      <w:i/>
      <w:iCs/>
      <w:color w:val="404040" w:themeColor="text1" w:themeTint="BF"/>
    </w:rPr>
  </w:style>
  <w:style w:type="character" w:customStyle="1" w:styleId="QuoteChar">
    <w:name w:val="Quote Char"/>
    <w:basedOn w:val="DefaultParagraphFont"/>
    <w:link w:val="Quote"/>
    <w:uiPriority w:val="29"/>
    <w:rsid w:val="00F23291"/>
    <w:rPr>
      <w:i/>
      <w:iCs/>
      <w:color w:val="404040" w:themeColor="text1" w:themeTint="BF"/>
    </w:rPr>
  </w:style>
  <w:style w:type="paragraph" w:styleId="ListParagraph">
    <w:name w:val="List Paragraph"/>
    <w:basedOn w:val="Normal"/>
    <w:uiPriority w:val="34"/>
    <w:qFormat/>
    <w:rsid w:val="00F23291"/>
    <w:pPr>
      <w:ind w:left="720"/>
      <w:contextualSpacing/>
    </w:pPr>
  </w:style>
  <w:style w:type="character" w:styleId="IntenseEmphasis">
    <w:name w:val="Intense Emphasis"/>
    <w:basedOn w:val="DefaultParagraphFont"/>
    <w:uiPriority w:val="21"/>
    <w:qFormat/>
    <w:rsid w:val="00F23291"/>
    <w:rPr>
      <w:i/>
      <w:iCs/>
      <w:color w:val="0F4761" w:themeColor="accent1" w:themeShade="BF"/>
    </w:rPr>
  </w:style>
  <w:style w:type="paragraph" w:styleId="IntenseQuote">
    <w:name w:val="Intense Quote"/>
    <w:basedOn w:val="Normal"/>
    <w:next w:val="Normal"/>
    <w:link w:val="IntenseQuoteChar"/>
    <w:uiPriority w:val="30"/>
    <w:qFormat/>
    <w:rsid w:val="00F23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291"/>
    <w:rPr>
      <w:i/>
      <w:iCs/>
      <w:color w:val="0F4761" w:themeColor="accent1" w:themeShade="BF"/>
    </w:rPr>
  </w:style>
  <w:style w:type="character" w:styleId="IntenseReference">
    <w:name w:val="Intense Reference"/>
    <w:basedOn w:val="DefaultParagraphFont"/>
    <w:uiPriority w:val="32"/>
    <w:qFormat/>
    <w:rsid w:val="00F232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706</Characters>
  <Application>Microsoft Office Word</Application>
  <DocSecurity>0</DocSecurity>
  <Lines>15</Lines>
  <Paragraphs>8</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Tai</dc:creator>
  <cp:keywords/>
  <dc:description/>
  <cp:lastModifiedBy>Brent Tai</cp:lastModifiedBy>
  <cp:revision>2</cp:revision>
  <dcterms:created xsi:type="dcterms:W3CDTF">2026-03-26T02:51:00Z</dcterms:created>
  <dcterms:modified xsi:type="dcterms:W3CDTF">2026-03-26T03:08:00Z</dcterms:modified>
</cp:coreProperties>
</file>