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781" w:rsidRPr="008F6781" w:rsidRDefault="008F6781" w:rsidP="008F678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F6781">
        <w:rPr>
          <w:rFonts w:ascii="Times New Roman" w:hAnsi="Times New Roman" w:cs="Times New Roman"/>
          <w:b/>
          <w:sz w:val="24"/>
          <w:szCs w:val="24"/>
        </w:rPr>
        <w:t>Appendix</w:t>
      </w:r>
      <w:r>
        <w:rPr>
          <w:rFonts w:ascii="Times New Roman" w:hAnsi="Times New Roman" w:cs="Times New Roman"/>
          <w:b/>
          <w:sz w:val="24"/>
          <w:szCs w:val="24"/>
          <w:lang w:val="mt-MT"/>
        </w:rPr>
        <w:t xml:space="preserve"> - </w:t>
      </w:r>
      <w:r w:rsidRPr="008F6781">
        <w:rPr>
          <w:rFonts w:ascii="Times New Roman" w:hAnsi="Times New Roman" w:cs="Times New Roman"/>
          <w:b/>
          <w:sz w:val="24"/>
          <w:szCs w:val="24"/>
        </w:rPr>
        <w:t>Survey 2014/2015 results</w:t>
      </w:r>
    </w:p>
    <w:p w:rsidR="008F6781" w:rsidRDefault="008F6781" w:rsidP="008F6781">
      <w:pPr>
        <w:spacing w:after="0" w:line="240" w:lineRule="auto"/>
      </w:pPr>
      <w:r w:rsidRPr="0078038E">
        <w:rPr>
          <w:noProof/>
          <w:lang w:eastAsia="en-GB"/>
        </w:rPr>
        <w:drawing>
          <wp:inline distT="0" distB="0" distL="0" distR="0">
            <wp:extent cx="4362450" cy="1619250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Pr="00D52C79" w:rsidRDefault="008F6781" w:rsidP="008F678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Table 1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Respondents’ marital status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78038E">
        <w:rPr>
          <w:noProof/>
          <w:lang w:eastAsia="en-GB"/>
        </w:rPr>
        <w:drawing>
          <wp:inline distT="0" distB="0" distL="0" distR="0">
            <wp:extent cx="4638675" cy="2190750"/>
            <wp:effectExtent l="0" t="0" r="9525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Pr="00D52C79" w:rsidRDefault="008F6781" w:rsidP="008F678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Table 2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Respondents’ occupational status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78038E">
        <w:rPr>
          <w:noProof/>
          <w:lang w:eastAsia="en-GB"/>
        </w:rPr>
        <w:drawing>
          <wp:inline distT="0" distB="0" distL="0" distR="0">
            <wp:extent cx="4524375" cy="2000250"/>
            <wp:effectExtent l="0" t="0" r="9525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Pr="00D52C79" w:rsidRDefault="008F6781" w:rsidP="008F678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Table 3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Respondents’ level of education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C354F0">
        <w:rPr>
          <w:noProof/>
          <w:lang w:eastAsia="en-GB"/>
        </w:rPr>
        <w:lastRenderedPageBreak/>
        <w:drawing>
          <wp:inline distT="0" distB="0" distL="0" distR="0">
            <wp:extent cx="4362450" cy="2571750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Pr="00D52C79" w:rsidRDefault="008F6781" w:rsidP="008F678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Table 4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Respondents’ number of individuals in their household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704863">
        <w:rPr>
          <w:noProof/>
          <w:lang w:eastAsia="en-GB"/>
        </w:rPr>
        <w:drawing>
          <wp:inline distT="0" distB="0" distL="0" distR="0">
            <wp:extent cx="4791075" cy="2381250"/>
            <wp:effectExtent l="0" t="0" r="9525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Pr="00D52C79" w:rsidRDefault="008F6781" w:rsidP="008F678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Table 5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Respondents’ main means of transport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8F0A07">
        <w:rPr>
          <w:noProof/>
          <w:lang w:eastAsia="en-GB"/>
        </w:rPr>
        <w:lastRenderedPageBreak/>
        <w:drawing>
          <wp:inline distT="0" distB="0" distL="0" distR="0">
            <wp:extent cx="5731510" cy="3442628"/>
            <wp:effectExtent l="0" t="0" r="2540" b="5715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Pr="00D52C79" w:rsidRDefault="008F6781" w:rsidP="008F678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Table 6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Respondents’ flu vaccine uptake compared with their respective age group.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916CFE">
        <w:rPr>
          <w:noProof/>
          <w:lang w:eastAsia="en-GB"/>
        </w:rPr>
        <w:drawing>
          <wp:inline distT="0" distB="0" distL="0" distR="0">
            <wp:extent cx="3800475" cy="1914525"/>
            <wp:effectExtent l="0" t="0" r="9525" b="9525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Pr="00D52C79" w:rsidRDefault="008F6781" w:rsidP="008F6781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Table 7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Chi-Square test of association between flu vaccine uptakes compared with their respective age group.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A64E3B">
        <w:rPr>
          <w:noProof/>
          <w:lang w:eastAsia="en-GB"/>
        </w:rPr>
        <w:lastRenderedPageBreak/>
        <w:drawing>
          <wp:inline distT="0" distB="0" distL="0" distR="0">
            <wp:extent cx="5200650" cy="3857625"/>
            <wp:effectExtent l="0" t="0" r="0" b="9525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Pr="00D52C79" w:rsidRDefault="008F6781" w:rsidP="008F678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Table 8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Respondents’ reasons for not taking the flu vaccine.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E50DBE">
        <w:rPr>
          <w:noProof/>
          <w:lang w:eastAsia="en-GB"/>
        </w:rPr>
        <w:drawing>
          <wp:inline distT="0" distB="0" distL="0" distR="0">
            <wp:extent cx="4133850" cy="3333750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Pr="00D52C79" w:rsidRDefault="008F6781" w:rsidP="008F678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Table 9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The number of times respondents visit their GP throughout the whole year.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583650">
        <w:rPr>
          <w:noProof/>
          <w:lang w:eastAsia="en-GB"/>
        </w:rPr>
        <w:lastRenderedPageBreak/>
        <w:drawing>
          <wp:inline distT="0" distB="0" distL="0" distR="0">
            <wp:extent cx="4953000" cy="4095750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Pr="00D52C79" w:rsidRDefault="008F6781" w:rsidP="008F678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Table 10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Respondents’ frequency of regular medication compared with their respective age group.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583650">
        <w:rPr>
          <w:noProof/>
          <w:lang w:eastAsia="en-GB"/>
        </w:rPr>
        <w:drawing>
          <wp:inline distT="0" distB="0" distL="0" distR="0">
            <wp:extent cx="3829050" cy="1914525"/>
            <wp:effectExtent l="0" t="0" r="0" b="9525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Default="008F6781" w:rsidP="008F6781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Table 11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Chi-Square test of association between the frequencies of regular medication compared with their respective age group.</w:t>
      </w:r>
    </w:p>
    <w:p w:rsidR="008F6781" w:rsidRDefault="008F6781" w:rsidP="008F6781">
      <w:pPr>
        <w:spacing w:after="0" w:line="240" w:lineRule="auto"/>
        <w:jc w:val="both"/>
        <w:rPr>
          <w:b/>
          <w:sz w:val="20"/>
          <w:szCs w:val="20"/>
        </w:rPr>
      </w:pPr>
    </w:p>
    <w:p w:rsidR="008F6781" w:rsidRDefault="008F6781" w:rsidP="008F6781">
      <w:pPr>
        <w:spacing w:after="0" w:line="240" w:lineRule="auto"/>
        <w:jc w:val="both"/>
        <w:rPr>
          <w:b/>
          <w:sz w:val="20"/>
          <w:szCs w:val="20"/>
        </w:rPr>
      </w:pPr>
    </w:p>
    <w:p w:rsidR="008F6781" w:rsidRDefault="008F6781" w:rsidP="008F6781">
      <w:pPr>
        <w:spacing w:after="0" w:line="240" w:lineRule="auto"/>
      </w:pPr>
      <w:r w:rsidRPr="00916CFE">
        <w:rPr>
          <w:noProof/>
          <w:lang w:eastAsia="en-GB"/>
        </w:rPr>
        <w:lastRenderedPageBreak/>
        <w:drawing>
          <wp:inline distT="0" distB="0" distL="0" distR="0">
            <wp:extent cx="4152900" cy="1857375"/>
            <wp:effectExtent l="0" t="0" r="0" b="9525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Pr="00D52C79" w:rsidRDefault="008F6781" w:rsidP="008F6781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Table 12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Cross tabulation between the frequencies of smokers compared with gender.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916CFE">
        <w:rPr>
          <w:noProof/>
          <w:lang w:eastAsia="en-GB"/>
        </w:rPr>
        <w:drawing>
          <wp:inline distT="0" distB="0" distL="0" distR="0">
            <wp:extent cx="5629275" cy="2352675"/>
            <wp:effectExtent l="0" t="0" r="9525" b="9525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Default="008F6781" w:rsidP="008F6781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Table 13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Chi-Square test of association between the</w:t>
      </w:r>
      <w:r w:rsidRPr="00DF536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frequencies of smokers compared with gender.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E50DBE">
        <w:rPr>
          <w:noProof/>
          <w:lang w:eastAsia="en-GB"/>
        </w:rPr>
        <w:lastRenderedPageBreak/>
        <w:drawing>
          <wp:inline distT="0" distB="0" distL="0" distR="0">
            <wp:extent cx="4362450" cy="3714750"/>
            <wp:effectExtent l="0" t="0" r="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Default="008F6781" w:rsidP="008F6781">
      <w:pPr>
        <w:spacing w:after="0" w:line="240" w:lineRule="auto"/>
      </w:pPr>
      <w:r>
        <w:rPr>
          <w:b/>
          <w:sz w:val="20"/>
          <w:szCs w:val="20"/>
        </w:rPr>
        <w:t>Table 14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The number of cigarettes respondents consume per day.</w:t>
      </w:r>
    </w:p>
    <w:p w:rsidR="008F6781" w:rsidRDefault="008F6781" w:rsidP="008F6781">
      <w:pPr>
        <w:spacing w:after="0" w:line="240" w:lineRule="auto"/>
      </w:pPr>
      <w:r w:rsidRPr="00EF0EA8">
        <w:rPr>
          <w:noProof/>
          <w:lang w:eastAsia="en-GB"/>
        </w:rPr>
        <w:drawing>
          <wp:inline distT="0" distB="0" distL="0" distR="0">
            <wp:extent cx="4505325" cy="2952750"/>
            <wp:effectExtent l="0" t="0" r="9525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Default="008F6781" w:rsidP="008F6781">
      <w:pPr>
        <w:spacing w:after="0" w:line="240" w:lineRule="auto"/>
        <w:jc w:val="both"/>
      </w:pPr>
      <w:r>
        <w:rPr>
          <w:b/>
          <w:sz w:val="20"/>
          <w:szCs w:val="20"/>
        </w:rPr>
        <w:t>Table 15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The number of days for the influenza-like-illness symptoms to persist according to survey respondents.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5907BD">
        <w:rPr>
          <w:noProof/>
          <w:lang w:eastAsia="en-GB"/>
        </w:rPr>
        <w:lastRenderedPageBreak/>
        <w:drawing>
          <wp:inline distT="0" distB="0" distL="0" distR="0">
            <wp:extent cx="4495800" cy="2571750"/>
            <wp:effectExtent l="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Default="008F6781" w:rsidP="008F6781">
      <w:pPr>
        <w:spacing w:after="0" w:line="240" w:lineRule="auto"/>
        <w:jc w:val="both"/>
      </w:pPr>
      <w:r>
        <w:rPr>
          <w:b/>
          <w:sz w:val="20"/>
          <w:szCs w:val="20"/>
        </w:rPr>
        <w:t>Table 16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The number of days for the seasonal influenza to persist according to survey respondents.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  <w:rPr>
          <w:b/>
        </w:rPr>
      </w:pPr>
      <w:r w:rsidRPr="0021608A">
        <w:rPr>
          <w:b/>
        </w:rPr>
        <w:t>Nights at hospital due to the seasonal influenza:</w:t>
      </w:r>
      <w:r w:rsidRPr="00A2607F">
        <w:rPr>
          <w:noProof/>
          <w:lang w:eastAsia="en-GB"/>
        </w:rPr>
        <w:drawing>
          <wp:inline distT="0" distB="0" distL="0" distR="0">
            <wp:extent cx="4362450" cy="2952750"/>
            <wp:effectExtent l="0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Default="008F6781" w:rsidP="008F6781">
      <w:pPr>
        <w:spacing w:after="0" w:line="240" w:lineRule="auto"/>
        <w:jc w:val="both"/>
      </w:pPr>
      <w:r>
        <w:rPr>
          <w:b/>
          <w:sz w:val="20"/>
          <w:szCs w:val="20"/>
        </w:rPr>
        <w:t>Table 17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The number of days of hospitalisation due to seasonal influenza.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AD555B">
        <w:rPr>
          <w:noProof/>
          <w:lang w:eastAsia="en-GB"/>
        </w:rPr>
        <w:drawing>
          <wp:inline distT="0" distB="0" distL="0" distR="0">
            <wp:extent cx="4362450" cy="1619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Default="008F6781" w:rsidP="008F6781">
      <w:pPr>
        <w:spacing w:after="0" w:line="240" w:lineRule="auto"/>
        <w:jc w:val="both"/>
      </w:pPr>
      <w:r>
        <w:rPr>
          <w:b/>
          <w:sz w:val="20"/>
          <w:szCs w:val="20"/>
        </w:rPr>
        <w:t>Table 18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 Household members that had acquired the seasonal influenza.</w:t>
      </w: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</w:p>
    <w:p w:rsidR="008F6781" w:rsidRDefault="008F6781" w:rsidP="008F6781">
      <w:pPr>
        <w:spacing w:after="0" w:line="240" w:lineRule="auto"/>
      </w:pPr>
      <w:r w:rsidRPr="007201E4">
        <w:rPr>
          <w:noProof/>
          <w:lang w:eastAsia="en-GB"/>
        </w:rPr>
        <w:drawing>
          <wp:inline distT="0" distB="0" distL="0" distR="0">
            <wp:extent cx="4362450" cy="219075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81" w:rsidRDefault="008F6781" w:rsidP="008F6781">
      <w:pPr>
        <w:spacing w:after="0" w:line="240" w:lineRule="auto"/>
        <w:jc w:val="both"/>
      </w:pPr>
      <w:r>
        <w:rPr>
          <w:b/>
          <w:sz w:val="20"/>
          <w:szCs w:val="20"/>
        </w:rPr>
        <w:t>Table 19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</w:t>
      </w:r>
      <w:r w:rsidRPr="00D52C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The number of members within the respondents’ household that had acquired the seasonal influenza.</w:t>
      </w:r>
    </w:p>
    <w:p w:rsidR="00490834" w:rsidRDefault="00490834"/>
    <w:sectPr w:rsidR="00490834" w:rsidSect="00490834">
      <w:footerReference w:type="default" r:id="rId2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291" w:rsidRDefault="007F7291" w:rsidP="008F6781">
      <w:pPr>
        <w:spacing w:after="0" w:line="240" w:lineRule="auto"/>
      </w:pPr>
      <w:r>
        <w:separator/>
      </w:r>
    </w:p>
  </w:endnote>
  <w:endnote w:type="continuationSeparator" w:id="0">
    <w:p w:rsidR="007F7291" w:rsidRDefault="007F7291" w:rsidP="008F6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979267"/>
      <w:docPartObj>
        <w:docPartGallery w:val="Page Numbers (Bottom of Page)"/>
        <w:docPartUnique/>
      </w:docPartObj>
    </w:sdtPr>
    <w:sdtEndPr/>
    <w:sdtContent>
      <w:p w:rsidR="008F6781" w:rsidRDefault="008F6781">
        <w:pPr>
          <w:pStyle w:val="Footer"/>
          <w:jc w:val="right"/>
        </w:pPr>
        <w:r>
          <w:t xml:space="preserve">Page | </w:t>
        </w:r>
        <w:r w:rsidR="007F7291">
          <w:fldChar w:fldCharType="begin"/>
        </w:r>
        <w:r w:rsidR="007F7291">
          <w:instrText xml:space="preserve"> PAGE   \* MERGEFORMAT </w:instrText>
        </w:r>
        <w:r w:rsidR="007F7291">
          <w:fldChar w:fldCharType="separate"/>
        </w:r>
        <w:r w:rsidR="00E9578A">
          <w:rPr>
            <w:noProof/>
          </w:rPr>
          <w:t>1</w:t>
        </w:r>
        <w:r w:rsidR="007F7291">
          <w:rPr>
            <w:noProof/>
          </w:rPr>
          <w:fldChar w:fldCharType="end"/>
        </w:r>
        <w:r>
          <w:t xml:space="preserve"> </w:t>
        </w:r>
      </w:p>
    </w:sdtContent>
  </w:sdt>
  <w:p w:rsidR="008F6781" w:rsidRDefault="008F6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291" w:rsidRDefault="007F7291" w:rsidP="008F6781">
      <w:pPr>
        <w:spacing w:after="0" w:line="240" w:lineRule="auto"/>
      </w:pPr>
      <w:r>
        <w:separator/>
      </w:r>
    </w:p>
  </w:footnote>
  <w:footnote w:type="continuationSeparator" w:id="0">
    <w:p w:rsidR="007F7291" w:rsidRDefault="007F7291" w:rsidP="008F67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781"/>
    <w:rsid w:val="00490834"/>
    <w:rsid w:val="007F7291"/>
    <w:rsid w:val="0082661F"/>
    <w:rsid w:val="008F6781"/>
    <w:rsid w:val="00E9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BF4D81-A528-4C39-B3AC-813B9113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781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781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F6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678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F6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78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Danika Marmara</dc:creator>
  <cp:lastModifiedBy>Marmara Danika at Health-SAMOC</cp:lastModifiedBy>
  <cp:revision>2</cp:revision>
  <dcterms:created xsi:type="dcterms:W3CDTF">2020-09-22T12:55:00Z</dcterms:created>
  <dcterms:modified xsi:type="dcterms:W3CDTF">2020-09-22T12:55:00Z</dcterms:modified>
</cp:coreProperties>
</file>