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Supplementary Table 1.</w:t>
      </w:r>
    </w:p>
    <w:p>
      <w:pPr>
        <w:spacing w:before="0" w:after="24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Contribution of the 10 included literature review articles to each of the seven service-learning evaluation criteria</w:t>
      </w:r>
    </w:p>
    <w:tbl>
      <w:tblPr>
        <w:tblW w:type="dxa" w:w="101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2600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1F3864" w:color="1F3864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Article</w:t>
            </w:r>
          </w:p>
        </w:tc>
        <w:tc>
          <w:tcPr>
            <w:tcW w:type="dxa" w:w="820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1F3864" w:color="1F3864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Article Type</w:t>
            </w:r>
          </w:p>
        </w:tc>
        <w:tc>
          <w:tcPr>
            <w:tcW w:type="dxa" w:w="4690"/>
            <w:gridSpan w:val="7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1F3864" w:color="1F3864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Service-Learning Evaluation Criteria</w:t>
            </w:r>
          </w:p>
        </w:tc>
        <w:tc>
          <w:tcPr>
            <w:tcW w:type="dxa" w:w="790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1F3864" w:color="1F3864" w:val="solid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Criteria
Supported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/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/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C1
Community Need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C2
Student Leadership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C3
Academic &amp; Civic Learning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C4
Institutional Oversight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C5
Structured Reflection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C6
Curricular Integration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C7
Outcome Tracking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6"/>
                <w:szCs w:val="16"/>
              </w:rPr>
              <w:t xml:space="preserve">n/10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Bringle &amp; Hatcher (1995) [1]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Framework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6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Eyler &amp; Giles (1999) [2]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Empirical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6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Seifer (1998) [3]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Framework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Thibault (2013) [4]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Review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Jacoby (2015) [6]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Framework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7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sz w:val="17"/>
                <w:szCs w:val="17"/>
              </w:rPr>
              <w:t xml:space="preserve">Scala et al. (2024) [7]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Empirical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6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sz w:val="17"/>
                <w:szCs w:val="17"/>
              </w:rPr>
              <w:t xml:space="preserve">Buregyeya et al. (2021) [8]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Empirical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sz w:val="17"/>
                <w:szCs w:val="17"/>
              </w:rPr>
              <w:t xml:space="preserve">Waqar et al. (2025) [9]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Review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7"/>
                <w:szCs w:val="17"/>
              </w:rPr>
              <w:t xml:space="preserve">Furco (2003) [11]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Framework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7</w:t>
            </w:r>
          </w:p>
        </w:tc>
      </w:tr>
      <w:tr>
        <w:tc>
          <w:tcPr>
            <w:tcW w:type="dxa" w:w="26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Creswell &amp; Plano Clark (2018) [10]</w:t>
            </w:r>
          </w:p>
        </w:tc>
        <w:tc>
          <w:tcPr>
            <w:tcW w:type="dxa" w:w="82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Methods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—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—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—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F6B3A"/>
                <w:sz w:val="18"/>
                <w:szCs w:val="18"/>
              </w:rPr>
              <w:t xml:space="preserve">●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B4F00"/>
                <w:sz w:val="18"/>
                <w:szCs w:val="18"/>
              </w:rPr>
              <w:t xml:space="preserve">◐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3420"/>
            <w:gridSpan w:val="2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E1F2" w:color="D9E1F2" w:val="solid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Sources per criterion (n/10)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6/10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7/10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8/10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5/10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9/10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6/10</w:t>
            </w:r>
          </w:p>
        </w:tc>
        <w:tc>
          <w:tcPr>
            <w:tcW w:type="dxa" w:w="67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5/10</w:t>
            </w:r>
          </w:p>
        </w:tc>
        <w:tc>
          <w:tcPr>
            <w:tcW w:type="dxa" w:w="7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/>
            </w:r>
          </w:p>
        </w:tc>
      </w:tr>
    </w:tbl>
    <w:p>
      <w:pPr>
        <w:spacing w:before="160" w:after="0"/>
      </w:pPr>
      <w:r>
        <w:t xml:space="preserve"/>
      </w:r>
    </w:p>
    <w:p>
      <w:pPr>
        <w:spacing w:before="0" w:after="8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● Primary source: </w:t>
      </w:r>
      <w:r>
        <w:rPr>
          <w:rFonts w:ascii="Arial" w:cs="Arial" w:eastAsia="Arial" w:hAnsi="Arial"/>
          <w:sz w:val="18"/>
          <w:szCs w:val="18"/>
        </w:rPr>
        <w:t xml:space="preserve">criterion explicitly emphasized or operationalized in article.  </w:t>
      </w:r>
      <w:r>
        <w:rPr>
          <w:rFonts w:ascii="Arial" w:cs="Arial" w:eastAsia="Arial" w:hAnsi="Arial"/>
          <w:b/>
          <w:bCs/>
          <w:sz w:val="18"/>
          <w:szCs w:val="18"/>
        </w:rPr>
        <w:t xml:space="preserve">◐ Secondary source: </w:t>
      </w:r>
      <w:r>
        <w:rPr>
          <w:rFonts w:ascii="Arial" w:cs="Arial" w:eastAsia="Arial" w:hAnsi="Arial"/>
          <w:sz w:val="18"/>
          <w:szCs w:val="18"/>
        </w:rPr>
        <w:t xml:space="preserve">criterion mentioned or implied but not central.  </w:t>
      </w:r>
      <w:r>
        <w:rPr>
          <w:rFonts w:ascii="Arial" w:cs="Arial" w:eastAsia="Arial" w:hAnsi="Arial"/>
          <w:b/>
          <w:bCs/>
          <w:sz w:val="18"/>
          <w:szCs w:val="18"/>
        </w:rPr>
        <w:t xml:space="preserve">— Not addressed.</w:t>
      </w:r>
    </w:p>
    <w:p>
      <w:pPr>
        <w:spacing w:before="0" w:after="80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C1 = Community-Identified Need; C2 = Student Leadership; C3 = Academic and Civic Learning; C4 = Institutional Oversight; C5 = Structured Reflection; C6 = Curricular Integration; C7 = Outcome Tracking.</w:t>
      </w:r>
    </w:p>
    <w:p>
      <w:pPr>
        <w:spacing w:before="0" w:after="0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Ref 10 (Creswell &amp; Plano Clark, 2018) was included as a methodological reference for the mixed-methods design and contributed only marginally to criterion derivation. Ref 5 (Kolb, 1984) served as a theoretical background reference and is not included in the framework-derivation analysis.</w:t>
      </w:r>
    </w:p>
    <w:sectPr>
      <w:pgSz w:w="15840" w:h="12240" w:orient="portrait"/>
      <w:pgMar w:top="1080" w:right="900" w:bottom="10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2026-03-29T21:12:50.804Z</dcterms:created>
  <dcterms:modified xsi:type="dcterms:W3CDTF">2026-03-29T21:12:50.805Z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