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B2DFD" w14:textId="77777777" w:rsidR="00BC1BDC" w:rsidRPr="00B327DF" w:rsidRDefault="00BC1BDC" w:rsidP="00BC1BDC">
      <w:pPr>
        <w:pStyle w:val="NormalWeb"/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B327DF">
        <w:rPr>
          <w:rFonts w:asciiTheme="majorBidi" w:hAnsiTheme="majorBidi" w:cstheme="majorBidi"/>
          <w:b/>
          <w:bCs/>
        </w:rPr>
        <w:t xml:space="preserve">Table (1): Effect of </w:t>
      </w:r>
      <w:r w:rsidRPr="00B327DF">
        <w:rPr>
          <w:rFonts w:asciiTheme="majorBidi" w:hAnsiTheme="majorBidi" w:cstheme="majorBidi"/>
          <w:b/>
          <w:bCs/>
          <w:i/>
          <w:iCs/>
        </w:rPr>
        <w:t>Giardia</w:t>
      </w:r>
      <w:r w:rsidRPr="00B327DF">
        <w:rPr>
          <w:rFonts w:asciiTheme="majorBidi" w:hAnsiTheme="majorBidi" w:cstheme="majorBidi"/>
          <w:b/>
          <w:bCs/>
        </w:rPr>
        <w:t xml:space="preserve"> infection on serum glucose levels in male rats at different post-infection intervals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3553"/>
        <w:gridCol w:w="2549"/>
      </w:tblGrid>
      <w:tr w:rsidR="00BC1BDC" w:rsidRPr="00B327DF" w14:paraId="0D10DC97" w14:textId="77777777" w:rsidTr="00B2529B">
        <w:trPr>
          <w:tblHeader/>
          <w:tblCellSpacing w:w="15" w:type="dxa"/>
        </w:trPr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4D8FE4ED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244E43C6" w14:textId="77777777" w:rsidR="00BC1BDC" w:rsidRPr="00331E29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pt-PT"/>
              </w:rPr>
            </w:pPr>
            <w:r w:rsidRPr="00331E29">
              <w:rPr>
                <w:rFonts w:asciiTheme="majorBidi" w:hAnsiTheme="majorBidi" w:cstheme="majorBidi"/>
                <w:b/>
                <w:bCs/>
                <w:sz w:val="24"/>
                <w:szCs w:val="24"/>
                <w:lang w:val="pt-PT"/>
              </w:rPr>
              <w:t>Serum Glucose (Control) (mg/dL)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698ACE15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Serum Glucose (mg/dL)</w:t>
            </w:r>
          </w:p>
        </w:tc>
      </w:tr>
      <w:tr w:rsidR="00BC1BDC" w:rsidRPr="00B327DF" w14:paraId="31A5C9B9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EB41FA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 weeks</w:t>
            </w:r>
          </w:p>
        </w:tc>
        <w:tc>
          <w:tcPr>
            <w:tcW w:w="0" w:type="auto"/>
            <w:vAlign w:val="center"/>
            <w:hideMark/>
          </w:tcPr>
          <w:p w14:paraId="0E4F0BB5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105.67</w:t>
            </w:r>
          </w:p>
        </w:tc>
        <w:tc>
          <w:tcPr>
            <w:tcW w:w="0" w:type="auto"/>
            <w:vAlign w:val="center"/>
            <w:hideMark/>
          </w:tcPr>
          <w:p w14:paraId="0980EA36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389.60 ± 251.78</w:t>
            </w:r>
          </w:p>
        </w:tc>
      </w:tr>
      <w:tr w:rsidR="00BC1BDC" w:rsidRPr="00B327DF" w14:paraId="22EF8BB0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388936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 weeks</w:t>
            </w:r>
          </w:p>
        </w:tc>
        <w:tc>
          <w:tcPr>
            <w:tcW w:w="0" w:type="auto"/>
            <w:vAlign w:val="center"/>
            <w:hideMark/>
          </w:tcPr>
          <w:p w14:paraId="53F4AFA3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105.67</w:t>
            </w:r>
          </w:p>
        </w:tc>
        <w:tc>
          <w:tcPr>
            <w:tcW w:w="0" w:type="auto"/>
            <w:vAlign w:val="center"/>
            <w:hideMark/>
          </w:tcPr>
          <w:p w14:paraId="6D02E3F1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397.50 ± 232.01</w:t>
            </w:r>
          </w:p>
        </w:tc>
      </w:tr>
      <w:tr w:rsidR="00BC1BDC" w:rsidRPr="00B327DF" w14:paraId="7FF93C05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CEB195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0" w:type="auto"/>
            <w:vAlign w:val="center"/>
            <w:hideMark/>
          </w:tcPr>
          <w:p w14:paraId="467F8861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105.67</w:t>
            </w:r>
          </w:p>
        </w:tc>
        <w:tc>
          <w:tcPr>
            <w:tcW w:w="0" w:type="auto"/>
            <w:vAlign w:val="center"/>
            <w:hideMark/>
          </w:tcPr>
          <w:p w14:paraId="259FD69E" w14:textId="77777777" w:rsidR="00BC1BDC" w:rsidRPr="00B327DF" w:rsidRDefault="00BC1BDC" w:rsidP="00BC1BDC">
            <w:pPr>
              <w:pStyle w:val="ListParagraph"/>
              <w:numPr>
                <w:ilvl w:val="1"/>
                <w:numId w:val="1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 xml:space="preserve"> 200.86</w:t>
            </w:r>
          </w:p>
        </w:tc>
      </w:tr>
    </w:tbl>
    <w:p w14:paraId="178076BE" w14:textId="77777777" w:rsidR="00BC1BDC" w:rsidRPr="00FA5E25" w:rsidRDefault="00BC1BDC" w:rsidP="00BC1BDC">
      <w:pPr>
        <w:spacing w:before="100" w:beforeAutospacing="1" w:after="100" w:afterAutospacing="1" w:line="360" w:lineRule="auto"/>
        <w:ind w:left="-90"/>
        <w:jc w:val="both"/>
        <w:rPr>
          <w:rFonts w:asciiTheme="majorBidi" w:hAnsiTheme="majorBidi" w:cstheme="majorBidi"/>
        </w:rPr>
      </w:pPr>
      <w:r w:rsidRPr="00FA5E25">
        <w:rPr>
          <w:rFonts w:asciiTheme="majorBidi" w:hAnsiTheme="majorBidi" w:cstheme="majorBidi"/>
        </w:rPr>
        <w:t>*Serum glucose levels showed a clear increase over time compared with the control group, with all values approaching or exceeding the statistical significance level (p ≤ 0.05).</w:t>
      </w:r>
    </w:p>
    <w:p w14:paraId="55C1803D" w14:textId="77777777" w:rsidR="00BC1BDC" w:rsidRPr="00B327DF" w:rsidRDefault="00BC1BDC" w:rsidP="00BC1BDC">
      <w:pPr>
        <w:pStyle w:val="NormalWeb"/>
        <w:spacing w:line="360" w:lineRule="auto"/>
        <w:rPr>
          <w:rFonts w:asciiTheme="majorBidi" w:hAnsiTheme="majorBidi" w:cstheme="majorBidi"/>
          <w:b/>
          <w:bCs/>
        </w:rPr>
      </w:pPr>
      <w:r w:rsidRPr="00B327DF">
        <w:rPr>
          <w:rFonts w:asciiTheme="majorBidi" w:hAnsiTheme="majorBidi" w:cstheme="majorBidi"/>
          <w:b/>
          <w:bCs/>
        </w:rPr>
        <w:t xml:space="preserve">Table (2): Effect of </w:t>
      </w:r>
      <w:r w:rsidRPr="00B327DF">
        <w:rPr>
          <w:rFonts w:asciiTheme="majorBidi" w:hAnsiTheme="majorBidi" w:cstheme="majorBidi"/>
          <w:b/>
          <w:bCs/>
          <w:i/>
          <w:iCs/>
        </w:rPr>
        <w:t>Giardia</w:t>
      </w:r>
      <w:r w:rsidRPr="00B327DF">
        <w:rPr>
          <w:rFonts w:asciiTheme="majorBidi" w:hAnsiTheme="majorBidi" w:cstheme="majorBidi"/>
          <w:b/>
          <w:bCs/>
        </w:rPr>
        <w:t xml:space="preserve"> infection on insulin-related parameters post infection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1"/>
        <w:gridCol w:w="1468"/>
        <w:gridCol w:w="1286"/>
        <w:gridCol w:w="1481"/>
        <w:gridCol w:w="1299"/>
        <w:gridCol w:w="1289"/>
        <w:gridCol w:w="926"/>
      </w:tblGrid>
      <w:tr w:rsidR="00BC1BDC" w:rsidRPr="00B327DF" w14:paraId="627E3D42" w14:textId="77777777" w:rsidTr="00B2529B">
        <w:trPr>
          <w:tblHeader/>
          <w:tblCellSpacing w:w="15" w:type="dxa"/>
        </w:trPr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7B6189D6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 post infection(p.i)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67F1C33C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 Sensitivity (Control)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40DBD599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 Sensitivity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4C9E31A3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 Resistance (Control)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6BE318FF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 Resistance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0242E63A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 Level (Control)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5B86EEA6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 Level</w:t>
            </w:r>
          </w:p>
        </w:tc>
      </w:tr>
      <w:tr w:rsidR="00BC1BDC" w:rsidRPr="00B327DF" w14:paraId="3B30B9B5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00ED7D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 weeks</w:t>
            </w:r>
          </w:p>
        </w:tc>
        <w:tc>
          <w:tcPr>
            <w:tcW w:w="0" w:type="auto"/>
            <w:vAlign w:val="center"/>
            <w:hideMark/>
          </w:tcPr>
          <w:p w14:paraId="5EA38616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0.285</w:t>
            </w:r>
          </w:p>
        </w:tc>
        <w:tc>
          <w:tcPr>
            <w:tcW w:w="0" w:type="auto"/>
            <w:vAlign w:val="center"/>
            <w:hideMark/>
          </w:tcPr>
          <w:p w14:paraId="425BE43E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0.222 ± 0.135</w:t>
            </w:r>
          </w:p>
        </w:tc>
        <w:tc>
          <w:tcPr>
            <w:tcW w:w="0" w:type="auto"/>
            <w:vAlign w:val="center"/>
            <w:hideMark/>
          </w:tcPr>
          <w:p w14:paraId="5A4FE7BA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15.35</w:t>
            </w:r>
          </w:p>
        </w:tc>
        <w:tc>
          <w:tcPr>
            <w:tcW w:w="0" w:type="auto"/>
            <w:vAlign w:val="center"/>
            <w:hideMark/>
          </w:tcPr>
          <w:p w14:paraId="4679B62B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61.729 ± 59.49</w:t>
            </w:r>
          </w:p>
        </w:tc>
        <w:tc>
          <w:tcPr>
            <w:tcW w:w="0" w:type="auto"/>
            <w:vAlign w:val="center"/>
            <w:hideMark/>
          </w:tcPr>
          <w:p w14:paraId="464E632B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6.66</w:t>
            </w:r>
          </w:p>
        </w:tc>
        <w:tc>
          <w:tcPr>
            <w:tcW w:w="0" w:type="auto"/>
            <w:vAlign w:val="center"/>
            <w:hideMark/>
          </w:tcPr>
          <w:p w14:paraId="483F3067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2.822 ± 0.599</w:t>
            </w:r>
          </w:p>
        </w:tc>
      </w:tr>
      <w:tr w:rsidR="00BC1BDC" w:rsidRPr="00B327DF" w14:paraId="3F6AA9EC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129D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 weeks</w:t>
            </w:r>
          </w:p>
        </w:tc>
        <w:tc>
          <w:tcPr>
            <w:tcW w:w="0" w:type="auto"/>
            <w:vAlign w:val="center"/>
            <w:hideMark/>
          </w:tcPr>
          <w:p w14:paraId="5FC03709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0.292</w:t>
            </w:r>
          </w:p>
        </w:tc>
        <w:tc>
          <w:tcPr>
            <w:tcW w:w="0" w:type="auto"/>
            <w:vAlign w:val="center"/>
            <w:hideMark/>
          </w:tcPr>
          <w:p w14:paraId="6C0C4B1A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0.345 ± 0.047</w:t>
            </w:r>
          </w:p>
        </w:tc>
        <w:tc>
          <w:tcPr>
            <w:tcW w:w="0" w:type="auto"/>
            <w:vAlign w:val="center"/>
            <w:hideMark/>
          </w:tcPr>
          <w:p w14:paraId="2EAA27CC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18.20</w:t>
            </w:r>
          </w:p>
        </w:tc>
        <w:tc>
          <w:tcPr>
            <w:tcW w:w="0" w:type="auto"/>
            <w:vAlign w:val="center"/>
            <w:hideMark/>
          </w:tcPr>
          <w:p w14:paraId="50C5809E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56.991 ± 40.136</w:t>
            </w:r>
          </w:p>
        </w:tc>
        <w:tc>
          <w:tcPr>
            <w:tcW w:w="0" w:type="auto"/>
            <w:vAlign w:val="center"/>
            <w:hideMark/>
          </w:tcPr>
          <w:p w14:paraId="43E4207D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7.68</w:t>
            </w:r>
          </w:p>
        </w:tc>
        <w:tc>
          <w:tcPr>
            <w:tcW w:w="0" w:type="auto"/>
            <w:vAlign w:val="center"/>
            <w:hideMark/>
          </w:tcPr>
          <w:p w14:paraId="21BF3540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0.344 ± 0.424</w:t>
            </w:r>
          </w:p>
        </w:tc>
      </w:tr>
      <w:tr w:rsidR="00BC1BDC" w:rsidRPr="00B327DF" w14:paraId="18229EB1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059C1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0" w:type="auto"/>
            <w:vAlign w:val="center"/>
            <w:hideMark/>
          </w:tcPr>
          <w:p w14:paraId="444345DA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0.298</w:t>
            </w:r>
          </w:p>
        </w:tc>
        <w:tc>
          <w:tcPr>
            <w:tcW w:w="0" w:type="auto"/>
            <w:vAlign w:val="center"/>
            <w:hideMark/>
          </w:tcPr>
          <w:p w14:paraId="63DB87F2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0.325 ± 0.132</w:t>
            </w:r>
          </w:p>
        </w:tc>
        <w:tc>
          <w:tcPr>
            <w:tcW w:w="0" w:type="auto"/>
            <w:vAlign w:val="center"/>
            <w:hideMark/>
          </w:tcPr>
          <w:p w14:paraId="77FB4140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16.31</w:t>
            </w:r>
          </w:p>
        </w:tc>
        <w:tc>
          <w:tcPr>
            <w:tcW w:w="0" w:type="auto"/>
            <w:vAlign w:val="center"/>
            <w:hideMark/>
          </w:tcPr>
          <w:p w14:paraId="7D033B7E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59.932 ± 60.652</w:t>
            </w:r>
          </w:p>
        </w:tc>
        <w:tc>
          <w:tcPr>
            <w:tcW w:w="0" w:type="auto"/>
            <w:vAlign w:val="center"/>
            <w:hideMark/>
          </w:tcPr>
          <w:p w14:paraId="000E4BBC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 xml:space="preserve">8.61 </w:t>
            </w:r>
          </w:p>
        </w:tc>
        <w:tc>
          <w:tcPr>
            <w:tcW w:w="0" w:type="auto"/>
            <w:vAlign w:val="center"/>
            <w:hideMark/>
          </w:tcPr>
          <w:p w14:paraId="3F7C219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0.334 ± 2.905</w:t>
            </w:r>
          </w:p>
        </w:tc>
      </w:tr>
    </w:tbl>
    <w:p w14:paraId="032EA9D2" w14:textId="77777777" w:rsidR="00BC1BDC" w:rsidRPr="00FA5E25" w:rsidRDefault="00BC1BDC" w:rsidP="00BC1BDC">
      <w:pPr>
        <w:spacing w:before="100" w:beforeAutospacing="1" w:after="100" w:afterAutospacing="1" w:line="360" w:lineRule="auto"/>
        <w:ind w:left="360"/>
        <w:rPr>
          <w:rFonts w:asciiTheme="majorBidi" w:hAnsiTheme="majorBidi" w:cstheme="majorBidi"/>
        </w:rPr>
      </w:pPr>
      <w:r w:rsidRPr="00FA5E25">
        <w:rPr>
          <w:rFonts w:asciiTheme="majorBidi" w:hAnsiTheme="majorBidi" w:cstheme="majorBidi"/>
        </w:rPr>
        <w:t>*A significant increase in insulin resistance was noted, approaching statistical significance (p ≈ 0.05).</w:t>
      </w:r>
    </w:p>
    <w:p w14:paraId="2443A9B1" w14:textId="77777777" w:rsidR="00BC1BDC" w:rsidRPr="00FA5E25" w:rsidRDefault="00BC1BDC" w:rsidP="00BC1BDC">
      <w:pPr>
        <w:spacing w:before="100" w:beforeAutospacing="1" w:after="100" w:afterAutospacing="1" w:line="360" w:lineRule="auto"/>
        <w:ind w:left="360"/>
        <w:rPr>
          <w:rFonts w:asciiTheme="majorBidi" w:hAnsiTheme="majorBidi" w:cstheme="majorBidi"/>
        </w:rPr>
      </w:pPr>
      <w:r w:rsidRPr="00FA5E25">
        <w:rPr>
          <w:rFonts w:asciiTheme="majorBidi" w:hAnsiTheme="majorBidi" w:cstheme="majorBidi"/>
        </w:rPr>
        <w:t>*Insulin sensitivity showed a significant increase at week 2 (p = 0.01), with a lower increase at week 3 (p = 0.01) and a slight but near-significant increase at week 4 (p = 0.086).</w:t>
      </w:r>
    </w:p>
    <w:p w14:paraId="4F08EAFB" w14:textId="77777777" w:rsidR="00BC1BDC" w:rsidRPr="00B327DF" w:rsidRDefault="00BC1BDC" w:rsidP="00BC1BDC">
      <w:pPr>
        <w:spacing w:before="100" w:beforeAutospacing="1" w:after="100" w:afterAutospacing="1" w:line="36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B327DF">
        <w:rPr>
          <w:rFonts w:asciiTheme="majorBidi" w:hAnsiTheme="majorBidi" w:cstheme="majorBidi"/>
          <w:b/>
          <w:bCs/>
          <w:sz w:val="24"/>
          <w:szCs w:val="24"/>
        </w:rPr>
        <w:t xml:space="preserve">Table (3): Effect of </w:t>
      </w:r>
      <w:r w:rsidRPr="00B327DF">
        <w:rPr>
          <w:rFonts w:asciiTheme="majorBidi" w:hAnsiTheme="majorBidi" w:cstheme="majorBidi"/>
          <w:b/>
          <w:bCs/>
          <w:i/>
          <w:iCs/>
          <w:sz w:val="24"/>
          <w:szCs w:val="24"/>
        </w:rPr>
        <w:t>Giardia</w:t>
      </w:r>
      <w:r w:rsidRPr="00B327DF">
        <w:rPr>
          <w:rFonts w:asciiTheme="majorBidi" w:hAnsiTheme="majorBidi" w:cstheme="majorBidi"/>
          <w:b/>
          <w:bCs/>
          <w:sz w:val="24"/>
          <w:szCs w:val="24"/>
        </w:rPr>
        <w:t xml:space="preserve"> infection on ALT (GPT) levels at different post-infection intervals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2327"/>
        <w:gridCol w:w="1547"/>
      </w:tblGrid>
      <w:tr w:rsidR="00BC1BDC" w:rsidRPr="00B327DF" w14:paraId="7DBFB062" w14:textId="77777777" w:rsidTr="00B2529B">
        <w:trPr>
          <w:tblHeader/>
          <w:tblCellSpacing w:w="15" w:type="dxa"/>
        </w:trPr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242B7009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Time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3175BC5F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ALT (GPT) – Control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0CC85DB5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ALT (GPT)</w:t>
            </w:r>
          </w:p>
        </w:tc>
      </w:tr>
      <w:tr w:rsidR="00BC1BDC" w:rsidRPr="00B327DF" w14:paraId="73C75003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E9251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 weeks</w:t>
            </w:r>
          </w:p>
        </w:tc>
        <w:tc>
          <w:tcPr>
            <w:tcW w:w="0" w:type="auto"/>
            <w:vAlign w:val="center"/>
            <w:hideMark/>
          </w:tcPr>
          <w:p w14:paraId="1EA00ADD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62.23</w:t>
            </w:r>
          </w:p>
        </w:tc>
        <w:tc>
          <w:tcPr>
            <w:tcW w:w="0" w:type="auto"/>
            <w:vAlign w:val="center"/>
            <w:hideMark/>
          </w:tcPr>
          <w:p w14:paraId="7CCD872A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120.60 ± 65.33</w:t>
            </w:r>
          </w:p>
        </w:tc>
      </w:tr>
      <w:tr w:rsidR="00BC1BDC" w:rsidRPr="00B327DF" w14:paraId="2B25BF65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5589BC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 weeks</w:t>
            </w:r>
          </w:p>
        </w:tc>
        <w:tc>
          <w:tcPr>
            <w:tcW w:w="0" w:type="auto"/>
            <w:vAlign w:val="center"/>
            <w:hideMark/>
          </w:tcPr>
          <w:p w14:paraId="2C91DAD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65.23</w:t>
            </w:r>
          </w:p>
        </w:tc>
        <w:tc>
          <w:tcPr>
            <w:tcW w:w="0" w:type="auto"/>
            <w:vAlign w:val="center"/>
            <w:hideMark/>
          </w:tcPr>
          <w:p w14:paraId="7286743A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142.75 ± 78.04</w:t>
            </w:r>
          </w:p>
        </w:tc>
      </w:tr>
      <w:tr w:rsidR="00BC1BDC" w:rsidRPr="00B327DF" w14:paraId="629D3F4D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2C55F0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0" w:type="auto"/>
            <w:vAlign w:val="center"/>
            <w:hideMark/>
          </w:tcPr>
          <w:p w14:paraId="59E9C6A1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63.23</w:t>
            </w:r>
          </w:p>
        </w:tc>
        <w:tc>
          <w:tcPr>
            <w:tcW w:w="0" w:type="auto"/>
            <w:vAlign w:val="center"/>
            <w:hideMark/>
          </w:tcPr>
          <w:p w14:paraId="787604A6" w14:textId="77777777" w:rsidR="00BC1BDC" w:rsidRPr="00B327DF" w:rsidRDefault="00BC1BDC" w:rsidP="00BC1BDC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 xml:space="preserve"> 75.54</w:t>
            </w:r>
          </w:p>
        </w:tc>
      </w:tr>
    </w:tbl>
    <w:p w14:paraId="4592557F" w14:textId="77777777" w:rsidR="00BC1BDC" w:rsidRPr="00FA5E25" w:rsidRDefault="00BC1BDC" w:rsidP="00BC1BDC">
      <w:pPr>
        <w:spacing w:before="100" w:beforeAutospacing="1" w:after="100" w:afterAutospacing="1" w:line="360" w:lineRule="auto"/>
        <w:ind w:left="-270"/>
        <w:rPr>
          <w:rFonts w:asciiTheme="majorBidi" w:hAnsiTheme="majorBidi" w:cstheme="majorBidi"/>
        </w:rPr>
      </w:pPr>
      <w:r w:rsidRPr="00FA5E25">
        <w:rPr>
          <w:rFonts w:asciiTheme="majorBidi" w:hAnsiTheme="majorBidi" w:cstheme="majorBidi"/>
        </w:rPr>
        <w:t>*Significant differences were observed between time intervals (p-values ranged from 0.043 to 0.067).</w:t>
      </w:r>
    </w:p>
    <w:p w14:paraId="19E6D1E4" w14:textId="77777777" w:rsidR="00BC1BDC" w:rsidRPr="00FA5E25" w:rsidRDefault="00BC1BDC" w:rsidP="00BC1BDC">
      <w:pPr>
        <w:pStyle w:val="NormalWeb"/>
        <w:spacing w:line="360" w:lineRule="auto"/>
        <w:ind w:left="-18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FA5E25">
        <w:rPr>
          <w:rFonts w:asciiTheme="majorBidi" w:hAnsiTheme="majorBidi" w:cstheme="majorBidi"/>
          <w:sz w:val="20"/>
          <w:szCs w:val="20"/>
        </w:rPr>
        <w:t>All values were close to the statistical significance level (p = 0.05)</w:t>
      </w:r>
    </w:p>
    <w:p w14:paraId="2AAFD99D" w14:textId="77777777" w:rsidR="00BC1BDC" w:rsidRPr="00B327DF" w:rsidRDefault="00BC1BDC" w:rsidP="00BC1BDC">
      <w:pPr>
        <w:spacing w:before="100" w:beforeAutospacing="1" w:after="100" w:afterAutospacing="1" w:line="36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B327DF">
        <w:rPr>
          <w:rFonts w:asciiTheme="majorBidi" w:hAnsiTheme="majorBidi" w:cstheme="majorBidi"/>
          <w:b/>
          <w:bCs/>
          <w:sz w:val="24"/>
          <w:szCs w:val="24"/>
        </w:rPr>
        <w:t xml:space="preserve">Table (4): Effect of </w:t>
      </w:r>
      <w:r w:rsidRPr="00B327DF">
        <w:rPr>
          <w:rFonts w:asciiTheme="majorBidi" w:hAnsiTheme="majorBidi" w:cstheme="majorBidi"/>
          <w:b/>
          <w:bCs/>
          <w:i/>
          <w:iCs/>
          <w:sz w:val="24"/>
          <w:szCs w:val="24"/>
        </w:rPr>
        <w:t>Giardia</w:t>
      </w:r>
      <w:r w:rsidRPr="00B327DF">
        <w:rPr>
          <w:rFonts w:asciiTheme="majorBidi" w:hAnsiTheme="majorBidi" w:cstheme="majorBidi"/>
          <w:b/>
          <w:bCs/>
          <w:sz w:val="24"/>
          <w:szCs w:val="24"/>
        </w:rPr>
        <w:t xml:space="preserve"> infection on AST (GOT) levels in male rats at different post-infection intervals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2341"/>
        <w:gridCol w:w="1667"/>
      </w:tblGrid>
      <w:tr w:rsidR="00BC1BDC" w:rsidRPr="00B327DF" w14:paraId="3DED77E8" w14:textId="77777777" w:rsidTr="00B2529B">
        <w:trPr>
          <w:tblHeader/>
          <w:tblCellSpacing w:w="15" w:type="dxa"/>
        </w:trPr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373C23BE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19340359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AST (GOT) – Control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7B712034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AST (GOT)</w:t>
            </w:r>
          </w:p>
        </w:tc>
      </w:tr>
      <w:tr w:rsidR="00BC1BDC" w:rsidRPr="00B327DF" w14:paraId="5847E1CB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DD36D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 weeks</w:t>
            </w:r>
          </w:p>
        </w:tc>
        <w:tc>
          <w:tcPr>
            <w:tcW w:w="0" w:type="auto"/>
            <w:vAlign w:val="center"/>
            <w:hideMark/>
          </w:tcPr>
          <w:p w14:paraId="4544D5C3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227</w:t>
            </w:r>
          </w:p>
        </w:tc>
        <w:tc>
          <w:tcPr>
            <w:tcW w:w="0" w:type="auto"/>
            <w:vAlign w:val="center"/>
            <w:hideMark/>
          </w:tcPr>
          <w:p w14:paraId="7CC97985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306.89 ± 199.98</w:t>
            </w:r>
          </w:p>
        </w:tc>
      </w:tr>
      <w:tr w:rsidR="00BC1BDC" w:rsidRPr="00B327DF" w14:paraId="323C37CB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AE19F6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 weeks</w:t>
            </w:r>
          </w:p>
        </w:tc>
        <w:tc>
          <w:tcPr>
            <w:tcW w:w="0" w:type="auto"/>
            <w:vAlign w:val="center"/>
            <w:hideMark/>
          </w:tcPr>
          <w:p w14:paraId="2A26DDD1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225</w:t>
            </w:r>
          </w:p>
        </w:tc>
        <w:tc>
          <w:tcPr>
            <w:tcW w:w="0" w:type="auto"/>
            <w:vAlign w:val="center"/>
            <w:hideMark/>
          </w:tcPr>
          <w:p w14:paraId="30186089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316.82 ± 299.99</w:t>
            </w:r>
          </w:p>
        </w:tc>
      </w:tr>
      <w:tr w:rsidR="00BC1BDC" w:rsidRPr="00B327DF" w14:paraId="1F1D6DB9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354049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0" w:type="auto"/>
            <w:vAlign w:val="center"/>
            <w:hideMark/>
          </w:tcPr>
          <w:p w14:paraId="54F00CAE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226</w:t>
            </w:r>
          </w:p>
        </w:tc>
        <w:tc>
          <w:tcPr>
            <w:tcW w:w="0" w:type="auto"/>
            <w:vAlign w:val="center"/>
            <w:hideMark/>
          </w:tcPr>
          <w:p w14:paraId="18235916" w14:textId="77777777" w:rsidR="00BC1BDC" w:rsidRPr="00B327DF" w:rsidRDefault="00BC1BDC" w:rsidP="00B2529B">
            <w:pPr>
              <w:pStyle w:val="ListParagraph"/>
              <w:numPr>
                <w:ilvl w:val="1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 xml:space="preserve"> 389.57</w:t>
            </w:r>
          </w:p>
        </w:tc>
      </w:tr>
    </w:tbl>
    <w:p w14:paraId="470705AF" w14:textId="77777777" w:rsidR="00BC1BDC" w:rsidRPr="00FA5E25" w:rsidRDefault="00BC1BDC" w:rsidP="00BC1BDC">
      <w:pPr>
        <w:spacing w:before="100" w:beforeAutospacing="1" w:after="100" w:afterAutospacing="1" w:line="360" w:lineRule="auto"/>
        <w:ind w:left="-180"/>
        <w:jc w:val="both"/>
        <w:rPr>
          <w:rFonts w:asciiTheme="majorBidi" w:hAnsiTheme="majorBidi" w:cstheme="majorBidi"/>
        </w:rPr>
      </w:pPr>
      <w:r w:rsidRPr="00FA5E25">
        <w:rPr>
          <w:rFonts w:asciiTheme="majorBidi" w:hAnsiTheme="majorBidi" w:cstheme="majorBidi"/>
        </w:rPr>
        <w:t>*Values at 4 weeks (p = 0.054) were close to the statistical significance level, showing a clear and gradual increase over time.</w:t>
      </w:r>
    </w:p>
    <w:p w14:paraId="4DBDDBAA" w14:textId="77777777" w:rsidR="00BC1BDC" w:rsidRPr="00B327DF" w:rsidRDefault="00BC1BDC" w:rsidP="00BC1BDC">
      <w:pPr>
        <w:spacing w:before="100" w:beforeAutospacing="1" w:after="100" w:afterAutospacing="1" w:line="36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B327DF">
        <w:rPr>
          <w:rFonts w:asciiTheme="majorBidi" w:hAnsiTheme="majorBidi" w:cstheme="majorBidi"/>
          <w:b/>
          <w:bCs/>
          <w:sz w:val="24"/>
          <w:szCs w:val="24"/>
        </w:rPr>
        <w:t xml:space="preserve">Table (5): Effect of </w:t>
      </w:r>
      <w:r w:rsidRPr="00B327DF">
        <w:rPr>
          <w:rFonts w:asciiTheme="majorBidi" w:hAnsiTheme="majorBidi" w:cstheme="majorBidi"/>
          <w:b/>
          <w:bCs/>
          <w:i/>
          <w:iCs/>
          <w:sz w:val="24"/>
          <w:szCs w:val="24"/>
        </w:rPr>
        <w:t>Giardia</w:t>
      </w:r>
      <w:r w:rsidRPr="00B327DF">
        <w:rPr>
          <w:rFonts w:asciiTheme="majorBidi" w:hAnsiTheme="majorBidi" w:cstheme="majorBidi"/>
          <w:b/>
          <w:bCs/>
          <w:sz w:val="24"/>
          <w:szCs w:val="24"/>
        </w:rPr>
        <w:t xml:space="preserve"> infection on serum albumin levels in male rats at different post-infection intervals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2707"/>
        <w:gridCol w:w="1703"/>
      </w:tblGrid>
      <w:tr w:rsidR="00BC1BDC" w:rsidRPr="00B327DF" w14:paraId="138F3FFC" w14:textId="77777777" w:rsidTr="00B2529B">
        <w:trPr>
          <w:tblHeader/>
          <w:tblCellSpacing w:w="15" w:type="dxa"/>
        </w:trPr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07A0E260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421939A4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Albumin (Control) (g/dL)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  <w:hideMark/>
          </w:tcPr>
          <w:p w14:paraId="5CC52E54" w14:textId="77777777" w:rsidR="00BC1BDC" w:rsidRPr="00B327DF" w:rsidRDefault="00BC1BDC" w:rsidP="00B252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Albumin (g/dL)</w:t>
            </w:r>
          </w:p>
        </w:tc>
      </w:tr>
      <w:tr w:rsidR="00BC1BDC" w:rsidRPr="00B327DF" w14:paraId="0C63D410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96567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 weeks</w:t>
            </w:r>
          </w:p>
        </w:tc>
        <w:tc>
          <w:tcPr>
            <w:tcW w:w="0" w:type="auto"/>
            <w:vAlign w:val="center"/>
            <w:hideMark/>
          </w:tcPr>
          <w:p w14:paraId="17814FE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2.27</w:t>
            </w:r>
          </w:p>
        </w:tc>
        <w:tc>
          <w:tcPr>
            <w:tcW w:w="0" w:type="auto"/>
            <w:vAlign w:val="center"/>
            <w:hideMark/>
          </w:tcPr>
          <w:p w14:paraId="56E438CC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4.48 ± 0.303</w:t>
            </w:r>
          </w:p>
        </w:tc>
      </w:tr>
      <w:tr w:rsidR="00BC1BDC" w:rsidRPr="00B327DF" w14:paraId="3292ED6B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CB1724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3 weeks</w:t>
            </w:r>
          </w:p>
        </w:tc>
        <w:tc>
          <w:tcPr>
            <w:tcW w:w="0" w:type="auto"/>
            <w:vAlign w:val="center"/>
            <w:hideMark/>
          </w:tcPr>
          <w:p w14:paraId="4643BC29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2.25</w:t>
            </w:r>
          </w:p>
        </w:tc>
        <w:tc>
          <w:tcPr>
            <w:tcW w:w="0" w:type="auto"/>
            <w:vAlign w:val="center"/>
            <w:hideMark/>
          </w:tcPr>
          <w:p w14:paraId="2F9642F1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4.30 ± 0.182</w:t>
            </w:r>
          </w:p>
        </w:tc>
      </w:tr>
      <w:tr w:rsidR="00BC1BDC" w:rsidRPr="00B327DF" w14:paraId="689E06C8" w14:textId="77777777" w:rsidTr="00B252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AB01DB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0" w:type="auto"/>
            <w:vAlign w:val="center"/>
            <w:hideMark/>
          </w:tcPr>
          <w:p w14:paraId="4072FC2F" w14:textId="77777777" w:rsidR="00BC1BDC" w:rsidRPr="00B327DF" w:rsidRDefault="00BC1BDC" w:rsidP="00B252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>2.17</w:t>
            </w:r>
          </w:p>
        </w:tc>
        <w:tc>
          <w:tcPr>
            <w:tcW w:w="0" w:type="auto"/>
            <w:vAlign w:val="center"/>
            <w:hideMark/>
          </w:tcPr>
          <w:p w14:paraId="164177CF" w14:textId="77777777" w:rsidR="00BC1BDC" w:rsidRPr="00B327DF" w:rsidRDefault="00BC1BDC" w:rsidP="00B2529B">
            <w:pPr>
              <w:pStyle w:val="ListParagraph"/>
              <w:numPr>
                <w:ilvl w:val="1"/>
                <w:numId w:val="4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327DF">
              <w:rPr>
                <w:rFonts w:asciiTheme="majorBidi" w:hAnsiTheme="majorBidi" w:cstheme="majorBidi"/>
                <w:sz w:val="24"/>
                <w:szCs w:val="24"/>
              </w:rPr>
              <w:t xml:space="preserve"> 0.212</w:t>
            </w:r>
          </w:p>
        </w:tc>
      </w:tr>
    </w:tbl>
    <w:p w14:paraId="1177048B" w14:textId="77777777" w:rsidR="00BC1BDC" w:rsidRPr="00FA5E25" w:rsidRDefault="00BC1BDC" w:rsidP="00BC1BDC">
      <w:pPr>
        <w:spacing w:before="100" w:beforeAutospacing="1" w:after="100" w:afterAutospacing="1" w:line="360" w:lineRule="auto"/>
        <w:ind w:left="-360"/>
        <w:rPr>
          <w:rFonts w:asciiTheme="majorBidi" w:hAnsiTheme="majorBidi" w:cstheme="majorBidi"/>
        </w:rPr>
      </w:pPr>
      <w:r w:rsidRPr="00FA5E25">
        <w:rPr>
          <w:rFonts w:asciiTheme="majorBidi" w:hAnsiTheme="majorBidi" w:cstheme="majorBidi"/>
        </w:rPr>
        <w:t>*Differences were close to statistical significance (p-values ranged from 0.065 to 0.08).</w:t>
      </w:r>
    </w:p>
    <w:p w14:paraId="7CE42703" w14:textId="77777777" w:rsidR="00DE6AE2" w:rsidRPr="00BC1BDC" w:rsidRDefault="00DE6AE2"/>
    <w:sectPr w:rsidR="00DE6AE2" w:rsidRPr="00BC1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D4501"/>
    <w:multiLevelType w:val="multilevel"/>
    <w:tmpl w:val="DF96263E"/>
    <w:lvl w:ilvl="0">
      <w:start w:val="47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70F6BB3"/>
    <w:multiLevelType w:val="multilevel"/>
    <w:tmpl w:val="FE92C85A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0"/>
      <w:numFmt w:val="decimalZero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5730F3"/>
    <w:multiLevelType w:val="multilevel"/>
    <w:tmpl w:val="22883370"/>
    <w:lvl w:ilvl="0">
      <w:start w:val="49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45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0551549"/>
    <w:multiLevelType w:val="multilevel"/>
    <w:tmpl w:val="669CE078"/>
    <w:lvl w:ilvl="0">
      <w:start w:val="180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 w16cid:durableId="994842951">
    <w:abstractNumId w:val="0"/>
  </w:num>
  <w:num w:numId="2" w16cid:durableId="67508817">
    <w:abstractNumId w:val="3"/>
  </w:num>
  <w:num w:numId="3" w16cid:durableId="370038875">
    <w:abstractNumId w:val="2"/>
  </w:num>
  <w:num w:numId="4" w16cid:durableId="411240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BDC"/>
    <w:rsid w:val="00195413"/>
    <w:rsid w:val="003D0186"/>
    <w:rsid w:val="007278E4"/>
    <w:rsid w:val="0092754F"/>
    <w:rsid w:val="00A3738C"/>
    <w:rsid w:val="00BC1BD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FC4C5"/>
  <w15:chartTrackingRefBased/>
  <w15:docId w15:val="{5EEAA933-9CB7-4827-B589-049AC5231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BD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B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B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B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B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B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B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B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B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B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B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B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B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B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B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B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B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B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B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B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1B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B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1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B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B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B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B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B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B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B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C1BDC"/>
    <w:pPr>
      <w:spacing w:before="100" w:beforeAutospacing="1" w:after="100" w:afterAutospacing="1"/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320</Words>
  <Characters>1930</Characters>
  <Application>Microsoft Office Word</Application>
  <DocSecurity>0</DocSecurity>
  <Lines>40</Lines>
  <Paragraphs>18</Paragraphs>
  <ScaleCrop>false</ScaleCrop>
  <Company>Springer Nature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2026-03-27T04:10:00Z</dcterms:created>
  <dcterms:modified xsi:type="dcterms:W3CDTF">2026-03-27T04:12:00Z</dcterms:modified>
</cp:coreProperties>
</file>