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2D488" w14:textId="6E82EFED" w:rsidR="00623085" w:rsidRDefault="006C68A0" w:rsidP="00623085">
      <w:pPr>
        <w:pStyle w:val="Heading1"/>
      </w:pPr>
      <w:r>
        <w:t xml:space="preserve">Supplementary </w:t>
      </w:r>
      <w:r w:rsidR="00623085">
        <w:t>Tables</w:t>
      </w:r>
    </w:p>
    <w:p w14:paraId="61C057BF" w14:textId="039F3A3F" w:rsidR="00623085" w:rsidRPr="00C7571E" w:rsidRDefault="00623085" w:rsidP="006C68A0">
      <w:pPr>
        <w:spacing w:before="240" w:line="240" w:lineRule="auto"/>
        <w:ind w:left="1276" w:hanging="1276"/>
        <w:rPr>
          <w:lang w:val="en-GB"/>
        </w:rPr>
      </w:pPr>
      <w:r>
        <w:rPr>
          <w:b/>
          <w:bCs/>
          <w:lang w:val="en-GB"/>
        </w:rPr>
        <w:t>Table</w:t>
      </w:r>
      <w:r w:rsidRPr="00C7571E"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>S</w:t>
      </w:r>
      <w:r>
        <w:rPr>
          <w:b/>
          <w:bCs/>
          <w:lang w:val="en-GB"/>
        </w:rPr>
        <w:t>1</w:t>
      </w:r>
      <w:r w:rsidRPr="00C7571E">
        <w:rPr>
          <w:lang w:val="en-GB"/>
        </w:rPr>
        <w:tab/>
      </w:r>
      <w:r>
        <w:rPr>
          <w:lang w:val="en-GB"/>
        </w:rPr>
        <w:t xml:space="preserve">Codes and explanations according to the </w:t>
      </w:r>
      <w:r w:rsidRPr="00E100EF">
        <w:rPr>
          <w:lang w:val="en-GB"/>
        </w:rPr>
        <w:t>Norwegian Classification of Radiological Procedures (NCRP) system</w:t>
      </w:r>
      <w:r>
        <w:rPr>
          <w:lang w:val="en-GB"/>
        </w:rPr>
        <w:t xml:space="preserve">. </w:t>
      </w:r>
    </w:p>
    <w:tbl>
      <w:tblPr>
        <w:tblStyle w:val="TableGridLight"/>
        <w:tblW w:w="8364" w:type="dxa"/>
        <w:tblLook w:val="04A0" w:firstRow="1" w:lastRow="0" w:firstColumn="1" w:lastColumn="0" w:noHBand="0" w:noVBand="1"/>
      </w:tblPr>
      <w:tblGrid>
        <w:gridCol w:w="1255"/>
        <w:gridCol w:w="7109"/>
      </w:tblGrid>
      <w:tr w:rsidR="00623085" w:rsidRPr="00E100EF" w14:paraId="3BBF2223" w14:textId="77777777" w:rsidTr="00766D7B">
        <w:trPr>
          <w:trHeight w:val="288"/>
        </w:trPr>
        <w:tc>
          <w:tcPr>
            <w:tcW w:w="1255" w:type="dxa"/>
            <w:noWrap/>
          </w:tcPr>
          <w:p w14:paraId="2AF31B45" w14:textId="77777777" w:rsidR="00623085" w:rsidRPr="00E100EF" w:rsidRDefault="00623085" w:rsidP="00766D7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E100EF">
              <w:rPr>
                <w:rFonts w:eastAsia="Times New Roman" w:cs="Calibri"/>
                <w:b/>
                <w:bCs/>
                <w:color w:val="000000"/>
              </w:rPr>
              <w:t>Code</w:t>
            </w:r>
          </w:p>
        </w:tc>
        <w:tc>
          <w:tcPr>
            <w:tcW w:w="7109" w:type="dxa"/>
            <w:noWrap/>
          </w:tcPr>
          <w:p w14:paraId="4B69FA96" w14:textId="77777777" w:rsidR="00623085" w:rsidRPr="00E100EF" w:rsidRDefault="00623085" w:rsidP="00766D7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E100EF">
              <w:rPr>
                <w:rFonts w:eastAsia="Times New Roman" w:cs="Calibri"/>
                <w:b/>
                <w:bCs/>
                <w:color w:val="000000"/>
                <w:lang w:val="en-US"/>
              </w:rPr>
              <w:t>Description</w:t>
            </w:r>
          </w:p>
        </w:tc>
      </w:tr>
      <w:tr w:rsidR="00623085" w:rsidRPr="00F6242C" w14:paraId="3238D7E8" w14:textId="77777777" w:rsidTr="00766D7B">
        <w:trPr>
          <w:trHeight w:val="288"/>
        </w:trPr>
        <w:tc>
          <w:tcPr>
            <w:tcW w:w="1255" w:type="dxa"/>
            <w:noWrap/>
            <w:hideMark/>
          </w:tcPr>
          <w:p w14:paraId="2E8D63CB" w14:textId="77777777" w:rsidR="00623085" w:rsidRPr="00BD0475" w:rsidRDefault="00623085" w:rsidP="00766D7B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  <w:r w:rsidRPr="00BD0475">
              <w:rPr>
                <w:rFonts w:eastAsia="Times New Roman" w:cs="Calibri"/>
              </w:rPr>
              <w:t>SKX0AA</w:t>
            </w:r>
          </w:p>
        </w:tc>
        <w:tc>
          <w:tcPr>
            <w:tcW w:w="7109" w:type="dxa"/>
            <w:noWrap/>
            <w:hideMark/>
          </w:tcPr>
          <w:p w14:paraId="013A3CBD" w14:textId="77777777" w:rsidR="00623085" w:rsidRPr="00BD0475" w:rsidRDefault="00623085" w:rsidP="00766D7B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  <w:r w:rsidRPr="00BD0475">
              <w:rPr>
                <w:rFonts w:eastAsia="Times New Roman" w:cs="Calibri"/>
                <w:lang w:val="en-US"/>
              </w:rPr>
              <w:t>X-ray Overview Urinary Tract</w:t>
            </w:r>
          </w:p>
        </w:tc>
      </w:tr>
      <w:tr w:rsidR="00623085" w:rsidRPr="009E62CB" w14:paraId="0BFB0A03" w14:textId="77777777" w:rsidTr="00766D7B">
        <w:trPr>
          <w:trHeight w:val="288"/>
        </w:trPr>
        <w:tc>
          <w:tcPr>
            <w:tcW w:w="1255" w:type="dxa"/>
            <w:noWrap/>
            <w:hideMark/>
          </w:tcPr>
          <w:p w14:paraId="49BFB06E" w14:textId="77777777" w:rsidR="00623085" w:rsidRPr="009E62CB" w:rsidRDefault="00623085" w:rsidP="00766D7B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  <w:r w:rsidRPr="009E62CB">
              <w:rPr>
                <w:rFonts w:eastAsia="Times New Roman" w:cs="Calibri"/>
              </w:rPr>
              <w:t>SKX0CA</w:t>
            </w:r>
          </w:p>
        </w:tc>
        <w:tc>
          <w:tcPr>
            <w:tcW w:w="7109" w:type="dxa"/>
            <w:noWrap/>
            <w:hideMark/>
          </w:tcPr>
          <w:p w14:paraId="59E04670" w14:textId="77777777" w:rsidR="00623085" w:rsidRPr="009E62CB" w:rsidRDefault="00623085" w:rsidP="00766D7B">
            <w:pPr>
              <w:spacing w:after="0" w:line="240" w:lineRule="auto"/>
              <w:rPr>
                <w:rFonts w:eastAsia="Times New Roman" w:cs="Calibri"/>
              </w:rPr>
            </w:pPr>
            <w:r w:rsidRPr="009E62CB">
              <w:rPr>
                <w:rFonts w:eastAsia="Times New Roman" w:cs="Calibri"/>
                <w:color w:val="000000"/>
                <w:lang w:val="en-US"/>
              </w:rPr>
              <w:t>X-ray</w:t>
            </w:r>
            <w:r w:rsidRPr="009E62CB">
              <w:rPr>
                <w:rFonts w:eastAsia="Times New Roman" w:cs="Calibri"/>
              </w:rPr>
              <w:t xml:space="preserve"> </w:t>
            </w:r>
            <w:proofErr w:type="spellStart"/>
            <w:r w:rsidRPr="009E62CB">
              <w:rPr>
                <w:rFonts w:eastAsia="Times New Roman" w:cs="Calibri"/>
              </w:rPr>
              <w:t>Urograph</w:t>
            </w:r>
            <w:r>
              <w:rPr>
                <w:rFonts w:eastAsia="Times New Roman" w:cs="Calibri"/>
              </w:rPr>
              <w:t>y</w:t>
            </w:r>
            <w:proofErr w:type="spellEnd"/>
          </w:p>
        </w:tc>
      </w:tr>
      <w:tr w:rsidR="00623085" w:rsidRPr="009E62CB" w14:paraId="0B53C49A" w14:textId="77777777" w:rsidTr="00766D7B">
        <w:trPr>
          <w:trHeight w:val="288"/>
        </w:trPr>
        <w:tc>
          <w:tcPr>
            <w:tcW w:w="1255" w:type="dxa"/>
            <w:noWrap/>
            <w:hideMark/>
          </w:tcPr>
          <w:p w14:paraId="38BBC7F8" w14:textId="77777777" w:rsidR="00623085" w:rsidRPr="009E62CB" w:rsidRDefault="00623085" w:rsidP="00766D7B">
            <w:pPr>
              <w:spacing w:after="0" w:line="240" w:lineRule="auto"/>
              <w:rPr>
                <w:rFonts w:eastAsia="Times New Roman" w:cs="Calibri"/>
              </w:rPr>
            </w:pPr>
            <w:r w:rsidRPr="009E62CB">
              <w:rPr>
                <w:rFonts w:eastAsia="Times New Roman" w:cs="Calibri"/>
              </w:rPr>
              <w:t>SKX0DA</w:t>
            </w:r>
          </w:p>
        </w:tc>
        <w:tc>
          <w:tcPr>
            <w:tcW w:w="7109" w:type="dxa"/>
            <w:noWrap/>
            <w:hideMark/>
          </w:tcPr>
          <w:p w14:paraId="16F33563" w14:textId="77777777" w:rsidR="00623085" w:rsidRPr="009E62CB" w:rsidRDefault="00623085" w:rsidP="00766D7B">
            <w:pPr>
              <w:spacing w:after="0" w:line="240" w:lineRule="auto"/>
              <w:rPr>
                <w:rFonts w:eastAsia="Times New Roman" w:cs="Calibri"/>
              </w:rPr>
            </w:pPr>
            <w:r w:rsidRPr="009E62CB">
              <w:rPr>
                <w:rFonts w:eastAsia="Times New Roman" w:cs="Calibri"/>
                <w:color w:val="000000"/>
                <w:lang w:val="en-US"/>
              </w:rPr>
              <w:t>X-ray</w:t>
            </w:r>
            <w:r w:rsidRPr="009E62CB">
              <w:rPr>
                <w:rFonts w:eastAsia="Times New Roman" w:cs="Calibri"/>
              </w:rPr>
              <w:t xml:space="preserve"> </w:t>
            </w:r>
            <w:proofErr w:type="spellStart"/>
            <w:r w:rsidRPr="009E62CB">
              <w:rPr>
                <w:rFonts w:eastAsia="Times New Roman" w:cs="Calibri"/>
              </w:rPr>
              <w:t>micturition</w:t>
            </w:r>
            <w:proofErr w:type="spellEnd"/>
            <w:r w:rsidRPr="009E62CB">
              <w:rPr>
                <w:rFonts w:eastAsia="Times New Roman" w:cs="Calibri"/>
              </w:rPr>
              <w:t xml:space="preserve"> </w:t>
            </w:r>
            <w:proofErr w:type="spellStart"/>
            <w:r w:rsidRPr="009E62CB">
              <w:rPr>
                <w:rFonts w:eastAsia="Times New Roman" w:cs="Calibri"/>
              </w:rPr>
              <w:t>cysto</w:t>
            </w:r>
            <w:r>
              <w:rPr>
                <w:rFonts w:eastAsia="Times New Roman" w:cs="Calibri"/>
              </w:rPr>
              <w:t>urethro</w:t>
            </w:r>
            <w:r w:rsidRPr="009E62CB">
              <w:rPr>
                <w:rFonts w:eastAsia="Times New Roman" w:cs="Calibri"/>
              </w:rPr>
              <w:t>graphy</w:t>
            </w:r>
            <w:proofErr w:type="spellEnd"/>
          </w:p>
        </w:tc>
      </w:tr>
      <w:tr w:rsidR="00623085" w:rsidRPr="00F6242C" w14:paraId="2ADB07FE" w14:textId="77777777" w:rsidTr="00766D7B">
        <w:trPr>
          <w:trHeight w:val="288"/>
        </w:trPr>
        <w:tc>
          <w:tcPr>
            <w:tcW w:w="1255" w:type="dxa"/>
            <w:noWrap/>
            <w:hideMark/>
          </w:tcPr>
          <w:p w14:paraId="27A9ECD0" w14:textId="77777777" w:rsidR="00623085" w:rsidRPr="009E62CB" w:rsidRDefault="00623085" w:rsidP="00766D7B">
            <w:pPr>
              <w:spacing w:after="0" w:line="240" w:lineRule="auto"/>
              <w:rPr>
                <w:rFonts w:eastAsia="Times New Roman" w:cs="Calibri"/>
              </w:rPr>
            </w:pPr>
            <w:r w:rsidRPr="009E62CB">
              <w:rPr>
                <w:rFonts w:eastAsia="Times New Roman" w:cs="Calibri"/>
              </w:rPr>
              <w:t>SKX0FA</w:t>
            </w:r>
          </w:p>
        </w:tc>
        <w:tc>
          <w:tcPr>
            <w:tcW w:w="7109" w:type="dxa"/>
            <w:noWrap/>
            <w:hideMark/>
          </w:tcPr>
          <w:p w14:paraId="3CEEA920" w14:textId="77777777" w:rsidR="00623085" w:rsidRPr="00E100EF" w:rsidRDefault="00623085" w:rsidP="00766D7B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  <w:r>
              <w:rPr>
                <w:rFonts w:eastAsia="Times New Roman" w:cs="Calibri"/>
                <w:lang w:val="en-US"/>
              </w:rPr>
              <w:t>X-ray of the u</w:t>
            </w:r>
            <w:r w:rsidRPr="00E100EF">
              <w:rPr>
                <w:rFonts w:eastAsia="Times New Roman" w:cs="Calibri"/>
                <w:lang w:val="en-US"/>
              </w:rPr>
              <w:t>rinary tract with measurement of glomerular filtration rate</w:t>
            </w:r>
          </w:p>
        </w:tc>
      </w:tr>
      <w:tr w:rsidR="00623085" w:rsidRPr="009E62CB" w14:paraId="13E0113C" w14:textId="77777777" w:rsidTr="00766D7B">
        <w:trPr>
          <w:trHeight w:val="288"/>
        </w:trPr>
        <w:tc>
          <w:tcPr>
            <w:tcW w:w="1255" w:type="dxa"/>
            <w:noWrap/>
            <w:hideMark/>
          </w:tcPr>
          <w:p w14:paraId="2FCE6D2C" w14:textId="77777777" w:rsidR="00623085" w:rsidRPr="009E62CB" w:rsidRDefault="00623085" w:rsidP="00766D7B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  <w:r w:rsidRPr="009E62CB">
              <w:rPr>
                <w:rFonts w:eastAsia="Times New Roman" w:cs="Calibri"/>
              </w:rPr>
              <w:t>KXFF00</w:t>
            </w:r>
          </w:p>
        </w:tc>
        <w:tc>
          <w:tcPr>
            <w:tcW w:w="7109" w:type="dxa"/>
            <w:noWrap/>
            <w:hideMark/>
          </w:tcPr>
          <w:p w14:paraId="1D3EF8EB" w14:textId="77777777" w:rsidR="00623085" w:rsidRPr="009E62CB" w:rsidRDefault="00623085" w:rsidP="00766D7B">
            <w:pPr>
              <w:spacing w:after="0" w:line="240" w:lineRule="auto"/>
              <w:rPr>
                <w:rFonts w:eastAsia="Times New Roman" w:cs="Calibri"/>
              </w:rPr>
            </w:pPr>
            <w:proofErr w:type="spellStart"/>
            <w:r w:rsidRPr="009E62CB">
              <w:rPr>
                <w:rFonts w:eastAsia="Times New Roman" w:cs="Calibri"/>
              </w:rPr>
              <w:t>Uroflowmetr</w:t>
            </w:r>
            <w:r>
              <w:rPr>
                <w:rFonts w:eastAsia="Times New Roman" w:cs="Calibri"/>
              </w:rPr>
              <w:t>y</w:t>
            </w:r>
            <w:proofErr w:type="spellEnd"/>
          </w:p>
        </w:tc>
      </w:tr>
      <w:tr w:rsidR="00623085" w:rsidRPr="00E100EF" w14:paraId="39DDF8C5" w14:textId="77777777" w:rsidTr="00766D7B">
        <w:trPr>
          <w:trHeight w:val="288"/>
        </w:trPr>
        <w:tc>
          <w:tcPr>
            <w:tcW w:w="1255" w:type="dxa"/>
            <w:noWrap/>
            <w:hideMark/>
          </w:tcPr>
          <w:p w14:paraId="1601F7AD" w14:textId="77777777" w:rsidR="00623085" w:rsidRPr="00BD0475" w:rsidRDefault="00623085" w:rsidP="00766D7B">
            <w:pPr>
              <w:spacing w:after="0" w:line="240" w:lineRule="auto"/>
              <w:rPr>
                <w:rFonts w:eastAsia="Times New Roman" w:cs="Calibri"/>
              </w:rPr>
            </w:pPr>
            <w:r w:rsidRPr="00BD0475">
              <w:rPr>
                <w:rFonts w:eastAsia="Times New Roman" w:cs="Calibri"/>
              </w:rPr>
              <w:t>SKX0AD</w:t>
            </w:r>
          </w:p>
        </w:tc>
        <w:tc>
          <w:tcPr>
            <w:tcW w:w="7109" w:type="dxa"/>
            <w:noWrap/>
            <w:hideMark/>
          </w:tcPr>
          <w:p w14:paraId="64876942" w14:textId="77777777" w:rsidR="00623085" w:rsidRPr="00BD0475" w:rsidRDefault="00623085" w:rsidP="00766D7B">
            <w:pPr>
              <w:spacing w:after="0" w:line="240" w:lineRule="auto"/>
              <w:rPr>
                <w:rFonts w:eastAsia="Times New Roman" w:cs="Calibri"/>
              </w:rPr>
            </w:pPr>
            <w:r w:rsidRPr="00BD0475">
              <w:rPr>
                <w:rFonts w:eastAsia="Times New Roman" w:cs="Calibri"/>
              </w:rPr>
              <w:t xml:space="preserve">CT </w:t>
            </w:r>
            <w:proofErr w:type="spellStart"/>
            <w:r w:rsidRPr="00BD0475">
              <w:rPr>
                <w:rFonts w:eastAsia="Times New Roman" w:cs="Calibri"/>
              </w:rPr>
              <w:t>ur</w:t>
            </w:r>
            <w:r>
              <w:rPr>
                <w:rFonts w:eastAsia="Times New Roman" w:cs="Calibri"/>
              </w:rPr>
              <w:t>i</w:t>
            </w:r>
            <w:r w:rsidRPr="00BD0475">
              <w:rPr>
                <w:rFonts w:eastAsia="Times New Roman" w:cs="Calibri"/>
              </w:rPr>
              <w:t>nary</w:t>
            </w:r>
            <w:proofErr w:type="spellEnd"/>
            <w:r w:rsidRPr="00BD0475">
              <w:rPr>
                <w:rFonts w:eastAsia="Times New Roman" w:cs="Calibri"/>
              </w:rPr>
              <w:t xml:space="preserve"> </w:t>
            </w:r>
            <w:proofErr w:type="spellStart"/>
            <w:r w:rsidRPr="00BD0475">
              <w:rPr>
                <w:rFonts w:eastAsia="Times New Roman" w:cs="Calibri"/>
              </w:rPr>
              <w:t>tract</w:t>
            </w:r>
            <w:proofErr w:type="spellEnd"/>
          </w:p>
        </w:tc>
      </w:tr>
      <w:tr w:rsidR="00623085" w:rsidRPr="00F6242C" w14:paraId="5550BD17" w14:textId="77777777" w:rsidTr="00766D7B">
        <w:trPr>
          <w:trHeight w:val="288"/>
        </w:trPr>
        <w:tc>
          <w:tcPr>
            <w:tcW w:w="1255" w:type="dxa"/>
            <w:noWrap/>
            <w:hideMark/>
          </w:tcPr>
          <w:p w14:paraId="139D77B5" w14:textId="77777777" w:rsidR="00623085" w:rsidRPr="009E62CB" w:rsidRDefault="00623085" w:rsidP="00766D7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E62CB">
              <w:rPr>
                <w:rFonts w:eastAsia="Times New Roman" w:cs="Calibri"/>
                <w:color w:val="000000"/>
              </w:rPr>
              <w:t>SKX0BD</w:t>
            </w:r>
          </w:p>
        </w:tc>
        <w:tc>
          <w:tcPr>
            <w:tcW w:w="7109" w:type="dxa"/>
            <w:noWrap/>
            <w:hideMark/>
          </w:tcPr>
          <w:p w14:paraId="1B0621F0" w14:textId="77777777" w:rsidR="00623085" w:rsidRPr="009E62CB" w:rsidRDefault="00623085" w:rsidP="00766D7B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9E62CB">
              <w:rPr>
                <w:rFonts w:eastAsia="Times New Roman" w:cs="Calibri"/>
                <w:color w:val="000000"/>
                <w:lang w:val="en-US"/>
              </w:rPr>
              <w:t>CT Kidneys and upper urinary tract</w:t>
            </w:r>
          </w:p>
        </w:tc>
      </w:tr>
      <w:tr w:rsidR="00623085" w14:paraId="5C1CEBE9" w14:textId="77777777" w:rsidTr="00766D7B">
        <w:trPr>
          <w:trHeight w:val="321"/>
        </w:trPr>
        <w:tc>
          <w:tcPr>
            <w:tcW w:w="1255" w:type="dxa"/>
            <w:noWrap/>
            <w:hideMark/>
          </w:tcPr>
          <w:p w14:paraId="15731172" w14:textId="77777777" w:rsidR="00623085" w:rsidRPr="009E62CB" w:rsidRDefault="00623085" w:rsidP="00766D7B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  <w:r w:rsidRPr="009E62CB">
              <w:rPr>
                <w:rFonts w:eastAsia="Times New Roman" w:cs="Calibri"/>
              </w:rPr>
              <w:t>SKX0BA</w:t>
            </w:r>
          </w:p>
        </w:tc>
        <w:tc>
          <w:tcPr>
            <w:tcW w:w="7109" w:type="dxa"/>
            <w:noWrap/>
            <w:hideMark/>
          </w:tcPr>
          <w:p w14:paraId="7A710014" w14:textId="77777777" w:rsidR="00623085" w:rsidRPr="009E62CB" w:rsidRDefault="00623085" w:rsidP="00766D7B">
            <w:pPr>
              <w:spacing w:after="0" w:line="240" w:lineRule="auto"/>
              <w:rPr>
                <w:rFonts w:eastAsia="Times New Roman" w:cs="Calibri"/>
              </w:rPr>
            </w:pPr>
            <w:proofErr w:type="spellStart"/>
            <w:r>
              <w:rPr>
                <w:rFonts w:eastAsia="Times New Roman" w:cs="Calibri"/>
              </w:rPr>
              <w:t>X-ray</w:t>
            </w:r>
            <w:proofErr w:type="spellEnd"/>
            <w:r w:rsidRPr="009E62CB">
              <w:rPr>
                <w:rFonts w:eastAsia="Times New Roman" w:cs="Calibri"/>
              </w:rPr>
              <w:t xml:space="preserve"> </w:t>
            </w:r>
            <w:proofErr w:type="spellStart"/>
            <w:r w:rsidRPr="009E62CB">
              <w:rPr>
                <w:rFonts w:eastAsia="Times New Roman" w:cs="Calibri"/>
              </w:rPr>
              <w:t>Pyelography</w:t>
            </w:r>
            <w:proofErr w:type="spellEnd"/>
          </w:p>
        </w:tc>
      </w:tr>
      <w:tr w:rsidR="00623085" w:rsidRPr="00F6242C" w14:paraId="79FB07CD" w14:textId="77777777" w:rsidTr="00766D7B">
        <w:trPr>
          <w:trHeight w:val="171"/>
        </w:trPr>
        <w:tc>
          <w:tcPr>
            <w:tcW w:w="1255" w:type="dxa"/>
            <w:noWrap/>
            <w:hideMark/>
          </w:tcPr>
          <w:p w14:paraId="5C93322B" w14:textId="77777777" w:rsidR="00623085" w:rsidRPr="009E62CB" w:rsidRDefault="00623085" w:rsidP="00766D7B">
            <w:pPr>
              <w:spacing w:after="0" w:line="240" w:lineRule="auto"/>
              <w:rPr>
                <w:rFonts w:eastAsia="Times New Roman" w:cs="Calibri"/>
              </w:rPr>
            </w:pPr>
            <w:r w:rsidRPr="009E62CB">
              <w:rPr>
                <w:rFonts w:eastAsia="Times New Roman" w:cs="Calibri"/>
              </w:rPr>
              <w:t>SKX0AK</w:t>
            </w:r>
          </w:p>
        </w:tc>
        <w:tc>
          <w:tcPr>
            <w:tcW w:w="7109" w:type="dxa"/>
            <w:noWrap/>
            <w:hideMark/>
          </w:tcPr>
          <w:p w14:paraId="15F88460" w14:textId="77777777" w:rsidR="00623085" w:rsidRPr="00E100EF" w:rsidRDefault="00623085" w:rsidP="00766D7B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  <w:r w:rsidRPr="00E100EF">
              <w:rPr>
                <w:rFonts w:eastAsia="Times New Roman" w:cs="Calibri"/>
                <w:lang w:val="en-US"/>
              </w:rPr>
              <w:t>Ultrasound of the urinary tract</w:t>
            </w:r>
          </w:p>
        </w:tc>
      </w:tr>
      <w:tr w:rsidR="00623085" w:rsidRPr="00E100EF" w14:paraId="28361877" w14:textId="77777777" w:rsidTr="00766D7B">
        <w:trPr>
          <w:trHeight w:val="288"/>
        </w:trPr>
        <w:tc>
          <w:tcPr>
            <w:tcW w:w="1255" w:type="dxa"/>
            <w:noWrap/>
          </w:tcPr>
          <w:p w14:paraId="2E6734C4" w14:textId="77777777" w:rsidR="00623085" w:rsidRPr="009E62CB" w:rsidRDefault="00623085" w:rsidP="00766D7B">
            <w:pPr>
              <w:spacing w:after="0" w:line="240" w:lineRule="auto"/>
              <w:rPr>
                <w:rFonts w:eastAsia="Times New Roman" w:cs="Calibri"/>
              </w:rPr>
            </w:pPr>
            <w:r w:rsidRPr="00E100EF">
              <w:rPr>
                <w:rFonts w:eastAsia="Times New Roman" w:cs="Calibri"/>
              </w:rPr>
              <w:t xml:space="preserve">SKA0BK </w:t>
            </w:r>
          </w:p>
        </w:tc>
        <w:tc>
          <w:tcPr>
            <w:tcW w:w="7109" w:type="dxa"/>
            <w:noWrap/>
          </w:tcPr>
          <w:p w14:paraId="48600F41" w14:textId="77777777" w:rsidR="00623085" w:rsidRPr="00E100EF" w:rsidRDefault="00623085" w:rsidP="00766D7B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  <w:r>
              <w:rPr>
                <w:rFonts w:eastAsia="Times New Roman" w:cs="Calibri"/>
                <w:lang w:val="en-US"/>
              </w:rPr>
              <w:t>Ultrasound of the kidneys</w:t>
            </w:r>
          </w:p>
        </w:tc>
      </w:tr>
      <w:tr w:rsidR="00623085" w:rsidRPr="00F6242C" w14:paraId="4DC0A5C8" w14:textId="77777777" w:rsidTr="00766D7B">
        <w:trPr>
          <w:trHeight w:val="288"/>
        </w:trPr>
        <w:tc>
          <w:tcPr>
            <w:tcW w:w="1255" w:type="dxa"/>
            <w:noWrap/>
          </w:tcPr>
          <w:p w14:paraId="3E555DA1" w14:textId="77777777" w:rsidR="00623085" w:rsidRPr="00E100EF" w:rsidRDefault="00623085" w:rsidP="00766D7B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SKCOAK</w:t>
            </w:r>
          </w:p>
        </w:tc>
        <w:tc>
          <w:tcPr>
            <w:tcW w:w="7109" w:type="dxa"/>
            <w:noWrap/>
          </w:tcPr>
          <w:p w14:paraId="6BF5BF81" w14:textId="77777777" w:rsidR="00623085" w:rsidRDefault="00623085" w:rsidP="00766D7B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  <w:r>
              <w:rPr>
                <w:rFonts w:eastAsia="Times New Roman" w:cs="Calibri"/>
                <w:lang w:val="en-US"/>
              </w:rPr>
              <w:t xml:space="preserve">Ultrasound of the </w:t>
            </w:r>
            <w:r w:rsidRPr="00E100EF">
              <w:rPr>
                <w:rFonts w:eastAsia="Times New Roman" w:cs="Calibri"/>
                <w:lang w:val="en-US"/>
              </w:rPr>
              <w:t>urinary bladder</w:t>
            </w:r>
          </w:p>
        </w:tc>
      </w:tr>
      <w:tr w:rsidR="00623085" w:rsidRPr="00F6242C" w14:paraId="364B1480" w14:textId="77777777" w:rsidTr="00766D7B">
        <w:trPr>
          <w:trHeight w:val="288"/>
        </w:trPr>
        <w:tc>
          <w:tcPr>
            <w:tcW w:w="1255" w:type="dxa"/>
            <w:noWrap/>
          </w:tcPr>
          <w:p w14:paraId="72A4D57A" w14:textId="77777777" w:rsidR="00623085" w:rsidRDefault="00623085" w:rsidP="00766D7B">
            <w:pPr>
              <w:spacing w:after="0" w:line="240" w:lineRule="auto"/>
              <w:rPr>
                <w:rFonts w:eastAsia="Times New Roman" w:cs="Calibri"/>
              </w:rPr>
            </w:pPr>
            <w:r w:rsidRPr="00E100EF">
              <w:rPr>
                <w:rFonts w:eastAsia="Times New Roman" w:cs="Calibri"/>
              </w:rPr>
              <w:t>TKA0AN</w:t>
            </w:r>
          </w:p>
        </w:tc>
        <w:tc>
          <w:tcPr>
            <w:tcW w:w="7109" w:type="dxa"/>
            <w:noWrap/>
          </w:tcPr>
          <w:p w14:paraId="389E91C5" w14:textId="77777777" w:rsidR="00623085" w:rsidRDefault="00623085" w:rsidP="00766D7B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  <w:r>
              <w:rPr>
                <w:rFonts w:eastAsia="Times New Roman" w:cs="Calibri"/>
                <w:lang w:val="en-US"/>
              </w:rPr>
              <w:t>Nuclear Medicine (NM) scintigraphy of the kidneys</w:t>
            </w:r>
          </w:p>
        </w:tc>
      </w:tr>
      <w:tr w:rsidR="00623085" w:rsidRPr="00E100EF" w14:paraId="053F8F9C" w14:textId="77777777" w:rsidTr="00766D7B">
        <w:trPr>
          <w:trHeight w:val="288"/>
        </w:trPr>
        <w:tc>
          <w:tcPr>
            <w:tcW w:w="1255" w:type="dxa"/>
            <w:noWrap/>
          </w:tcPr>
          <w:p w14:paraId="795E357C" w14:textId="77777777" w:rsidR="00623085" w:rsidRPr="00E100EF" w:rsidRDefault="00623085" w:rsidP="00766D7B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TKA0BN</w:t>
            </w:r>
          </w:p>
        </w:tc>
        <w:tc>
          <w:tcPr>
            <w:tcW w:w="7109" w:type="dxa"/>
            <w:noWrap/>
          </w:tcPr>
          <w:p w14:paraId="2E36BEB9" w14:textId="77777777" w:rsidR="00623085" w:rsidRDefault="00623085" w:rsidP="00766D7B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  <w:r>
              <w:rPr>
                <w:rFonts w:eastAsia="Times New Roman" w:cs="Calibri"/>
                <w:lang w:val="en-US"/>
              </w:rPr>
              <w:t>NM Renography</w:t>
            </w:r>
          </w:p>
        </w:tc>
      </w:tr>
    </w:tbl>
    <w:p w14:paraId="72750353" w14:textId="77777777" w:rsidR="00623085" w:rsidRDefault="00623085" w:rsidP="00623085"/>
    <w:p w14:paraId="590C5D0E" w14:textId="77777777" w:rsidR="00623085" w:rsidRPr="009E25AF" w:rsidRDefault="00623085" w:rsidP="00623085">
      <w:pPr>
        <w:sectPr w:rsidR="00623085" w:rsidRPr="009E25AF" w:rsidSect="00623085">
          <w:footerReference w:type="default" r:id="rId4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A5ABDDF" w14:textId="0E8A44AD" w:rsidR="00623085" w:rsidRDefault="00623085" w:rsidP="006C68A0">
      <w:pPr>
        <w:spacing w:line="240" w:lineRule="auto"/>
        <w:ind w:left="1276" w:hanging="1276"/>
        <w:rPr>
          <w:szCs w:val="24"/>
        </w:rPr>
      </w:pPr>
      <w:r>
        <w:rPr>
          <w:b/>
          <w:bCs/>
          <w:szCs w:val="24"/>
        </w:rPr>
        <w:lastRenderedPageBreak/>
        <w:t xml:space="preserve">Table </w:t>
      </w:r>
      <w:r>
        <w:rPr>
          <w:b/>
          <w:bCs/>
          <w:szCs w:val="24"/>
        </w:rPr>
        <w:t>S</w:t>
      </w:r>
      <w:r>
        <w:rPr>
          <w:b/>
          <w:bCs/>
          <w:szCs w:val="24"/>
        </w:rPr>
        <w:t xml:space="preserve">2           </w:t>
      </w:r>
      <w:r>
        <w:rPr>
          <w:szCs w:val="24"/>
        </w:rPr>
        <w:t xml:space="preserve">Overview of the number of urinary tract examinations for the various examination codes for the years from 2013 to 2022. CT= </w:t>
      </w:r>
      <w:r w:rsidRPr="00F53F51">
        <w:rPr>
          <w:szCs w:val="24"/>
        </w:rPr>
        <w:t xml:space="preserve">Computed </w:t>
      </w:r>
      <w:r>
        <w:rPr>
          <w:szCs w:val="24"/>
        </w:rPr>
        <w:t>T</w:t>
      </w:r>
      <w:r w:rsidRPr="00F53F51">
        <w:rPr>
          <w:szCs w:val="24"/>
        </w:rPr>
        <w:t>omography</w:t>
      </w:r>
      <w:r>
        <w:rPr>
          <w:szCs w:val="24"/>
        </w:rPr>
        <w:t xml:space="preserve">; </w:t>
      </w:r>
      <w:r w:rsidRPr="003302D5">
        <w:rPr>
          <w:szCs w:val="24"/>
        </w:rPr>
        <w:t>UT= Urinary Track</w:t>
      </w:r>
      <w:r>
        <w:rPr>
          <w:szCs w:val="24"/>
        </w:rPr>
        <w:t xml:space="preserve">; US=Ultrasound; </w:t>
      </w:r>
      <w:r w:rsidRPr="006F7BFC">
        <w:rPr>
          <w:szCs w:val="24"/>
        </w:rPr>
        <w:t xml:space="preserve">NM = Nuclear </w:t>
      </w:r>
      <w:r>
        <w:rPr>
          <w:szCs w:val="24"/>
        </w:rPr>
        <w:t xml:space="preserve">Medicine; </w:t>
      </w:r>
      <w:r w:rsidRPr="003302D5">
        <w:rPr>
          <w:szCs w:val="24"/>
        </w:rPr>
        <w:t xml:space="preserve">GFR = </w:t>
      </w:r>
      <w:r>
        <w:rPr>
          <w:szCs w:val="24"/>
        </w:rPr>
        <w:t>G</w:t>
      </w:r>
      <w:r w:rsidRPr="003302D5">
        <w:rPr>
          <w:szCs w:val="24"/>
        </w:rPr>
        <w:t xml:space="preserve">lomerular </w:t>
      </w:r>
      <w:r>
        <w:rPr>
          <w:szCs w:val="24"/>
        </w:rPr>
        <w:t>f</w:t>
      </w:r>
      <w:r w:rsidRPr="003302D5">
        <w:rPr>
          <w:szCs w:val="24"/>
        </w:rPr>
        <w:t>iltration rate</w:t>
      </w:r>
      <w:r>
        <w:rPr>
          <w:szCs w:val="24"/>
        </w:rPr>
        <w:t>.</w:t>
      </w:r>
    </w:p>
    <w:tbl>
      <w:tblPr>
        <w:tblW w:w="13834" w:type="dxa"/>
        <w:tblLook w:val="04A0" w:firstRow="1" w:lastRow="0" w:firstColumn="1" w:lastColumn="0" w:noHBand="0" w:noVBand="1"/>
      </w:tblPr>
      <w:tblGrid>
        <w:gridCol w:w="3416"/>
        <w:gridCol w:w="1176"/>
        <w:gridCol w:w="753"/>
        <w:gridCol w:w="749"/>
        <w:gridCol w:w="754"/>
        <w:gridCol w:w="749"/>
        <w:gridCol w:w="749"/>
        <w:gridCol w:w="749"/>
        <w:gridCol w:w="749"/>
        <w:gridCol w:w="749"/>
        <w:gridCol w:w="749"/>
        <w:gridCol w:w="749"/>
        <w:gridCol w:w="855"/>
        <w:gridCol w:w="888"/>
      </w:tblGrid>
      <w:tr w:rsidR="00623085" w:rsidRPr="00E72CA6" w14:paraId="2BA2F921" w14:textId="77777777" w:rsidTr="00766D7B">
        <w:trPr>
          <w:trHeight w:val="300"/>
        </w:trPr>
        <w:tc>
          <w:tcPr>
            <w:tcW w:w="3416" w:type="dxa"/>
            <w:shd w:val="clear" w:color="auto" w:fill="auto"/>
            <w:noWrap/>
            <w:vAlign w:val="bottom"/>
            <w:hideMark/>
          </w:tcPr>
          <w:p w14:paraId="16330169" w14:textId="77777777" w:rsidR="00623085" w:rsidRPr="00E72CA6" w:rsidRDefault="00623085" w:rsidP="00766D7B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Examination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3DC9D41D" w14:textId="77777777" w:rsidR="00623085" w:rsidRPr="00E72CA6" w:rsidRDefault="00623085" w:rsidP="00766D7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NCRP-code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02DB3481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2013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2E79F5C8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2014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14:paraId="17D6C6FD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2015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259C8D69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2016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01E9C326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2017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7FF03FA6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2018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3EC6C203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2019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6A0DBD7C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2020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2C2B3A6E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2021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116D5585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2022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2A7694B4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888" w:type="dxa"/>
            <w:shd w:val="clear" w:color="auto" w:fill="auto"/>
            <w:noWrap/>
            <w:vAlign w:val="bottom"/>
            <w:hideMark/>
          </w:tcPr>
          <w:p w14:paraId="22337883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Percent</w:t>
            </w:r>
          </w:p>
        </w:tc>
      </w:tr>
      <w:tr w:rsidR="00623085" w:rsidRPr="00E72CA6" w14:paraId="48F221AE" w14:textId="77777777" w:rsidTr="00766D7B">
        <w:trPr>
          <w:trHeight w:val="300"/>
        </w:trPr>
        <w:tc>
          <w:tcPr>
            <w:tcW w:w="3416" w:type="dxa"/>
            <w:shd w:val="clear" w:color="auto" w:fill="auto"/>
            <w:noWrap/>
            <w:vAlign w:val="bottom"/>
            <w:hideMark/>
          </w:tcPr>
          <w:p w14:paraId="263C4207" w14:textId="77777777" w:rsidR="00623085" w:rsidRPr="00E72CA6" w:rsidRDefault="00623085" w:rsidP="00766D7B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CT urinary tract (UT)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70BDD49E" w14:textId="77777777" w:rsidR="00623085" w:rsidRPr="00E72CA6" w:rsidRDefault="00623085" w:rsidP="00766D7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SKX0AD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3D929594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23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</w:t>
            </w: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023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3B812310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34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</w:t>
            </w: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299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42ADD8C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32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</w:t>
            </w: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353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5B8241AA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35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</w:t>
            </w: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591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2F1DEFA0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36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</w:t>
            </w: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768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2A7E90F0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37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</w:t>
            </w: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076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548B096C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38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</w:t>
            </w: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157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74F563F3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32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</w:t>
            </w: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529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05085AD1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33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</w:t>
            </w: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053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2C90A904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32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</w:t>
            </w: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375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44B0D4EC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335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</w:t>
            </w: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224</w:t>
            </w:r>
          </w:p>
        </w:tc>
        <w:tc>
          <w:tcPr>
            <w:tcW w:w="888" w:type="dxa"/>
            <w:shd w:val="clear" w:color="auto" w:fill="auto"/>
            <w:noWrap/>
            <w:vAlign w:val="bottom"/>
            <w:hideMark/>
          </w:tcPr>
          <w:p w14:paraId="4EE52CBD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44.8</w:t>
            </w:r>
          </w:p>
        </w:tc>
      </w:tr>
      <w:tr w:rsidR="00623085" w:rsidRPr="00E72CA6" w14:paraId="19E4B238" w14:textId="77777777" w:rsidTr="00766D7B">
        <w:trPr>
          <w:trHeight w:val="300"/>
        </w:trPr>
        <w:tc>
          <w:tcPr>
            <w:tcW w:w="3416" w:type="dxa"/>
            <w:shd w:val="clear" w:color="auto" w:fill="auto"/>
            <w:noWrap/>
            <w:vAlign w:val="bottom"/>
            <w:hideMark/>
          </w:tcPr>
          <w:p w14:paraId="0C02F3F2" w14:textId="77777777" w:rsidR="00623085" w:rsidRPr="00E72CA6" w:rsidRDefault="00623085" w:rsidP="00766D7B">
            <w:pPr>
              <w:spacing w:after="0" w:line="360" w:lineRule="auto"/>
              <w:rPr>
                <w:rFonts w:ascii="Aptos" w:eastAsia="Times New Roman" w:hAnsi="Aptos" w:cs="Calibri"/>
                <w:color w:val="000000"/>
                <w:sz w:val="19"/>
                <w:szCs w:val="19"/>
              </w:rPr>
            </w:pPr>
            <w:r w:rsidRPr="00E72CA6">
              <w:rPr>
                <w:rFonts w:ascii="Aptos" w:eastAsia="Times New Roman" w:hAnsi="Aptos" w:cs="Calibri"/>
                <w:color w:val="000000"/>
                <w:sz w:val="19"/>
                <w:szCs w:val="19"/>
              </w:rPr>
              <w:t>US of the UT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14:paraId="68553552" w14:textId="77777777" w:rsidR="00623085" w:rsidRPr="00E72CA6" w:rsidRDefault="00623085" w:rsidP="00766D7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SKX0AK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27EB83A6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30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</w:t>
            </w: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876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1126509F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31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</w:t>
            </w: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880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14:paraId="05EFAB06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32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</w:t>
            </w: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757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5680AEB0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31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</w:t>
            </w: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196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21BA87E8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29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</w:t>
            </w: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380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0BFC8D53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28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</w:t>
            </w: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485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72C66BE9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28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</w:t>
            </w: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146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4126C3C7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24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</w:t>
            </w: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721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07318622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25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</w:t>
            </w: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981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11F37BDA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24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</w:t>
            </w: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249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44E32832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287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</w:t>
            </w: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671</w:t>
            </w:r>
          </w:p>
        </w:tc>
        <w:tc>
          <w:tcPr>
            <w:tcW w:w="888" w:type="dxa"/>
            <w:shd w:val="clear" w:color="auto" w:fill="auto"/>
            <w:noWrap/>
            <w:vAlign w:val="bottom"/>
            <w:hideMark/>
          </w:tcPr>
          <w:p w14:paraId="5989E360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38.5</w:t>
            </w:r>
          </w:p>
        </w:tc>
      </w:tr>
      <w:tr w:rsidR="00623085" w:rsidRPr="00E72CA6" w14:paraId="5ADC2493" w14:textId="77777777" w:rsidTr="00766D7B">
        <w:trPr>
          <w:trHeight w:val="300"/>
        </w:trPr>
        <w:tc>
          <w:tcPr>
            <w:tcW w:w="3416" w:type="dxa"/>
            <w:shd w:val="clear" w:color="auto" w:fill="auto"/>
            <w:noWrap/>
            <w:vAlign w:val="bottom"/>
            <w:hideMark/>
          </w:tcPr>
          <w:p w14:paraId="7595C7BC" w14:textId="77777777" w:rsidR="00623085" w:rsidRPr="00E72CA6" w:rsidRDefault="00623085" w:rsidP="00766D7B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CT Kidneys and upper UT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14:paraId="0E1C7CBF" w14:textId="77777777" w:rsidR="00623085" w:rsidRPr="00E72CA6" w:rsidRDefault="00623085" w:rsidP="00766D7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SKX0BD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75EA7231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</w:t>
            </w: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991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3E2BB497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</w:t>
            </w: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486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14:paraId="2DBBE930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</w:t>
            </w: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019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1CED923C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</w:t>
            </w: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254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610FB953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</w:t>
            </w: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460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33458177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</w:t>
            </w: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838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0C8483AE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</w:t>
            </w: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073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52BC6EB2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</w:t>
            </w: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272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21EF7D41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</w:t>
            </w: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179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7BA4F13D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</w:t>
            </w: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162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01C7AE12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69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</w:t>
            </w: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734</w:t>
            </w:r>
          </w:p>
        </w:tc>
        <w:tc>
          <w:tcPr>
            <w:tcW w:w="888" w:type="dxa"/>
            <w:shd w:val="clear" w:color="auto" w:fill="auto"/>
            <w:noWrap/>
            <w:vAlign w:val="bottom"/>
            <w:hideMark/>
          </w:tcPr>
          <w:p w14:paraId="646D9438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9.3</w:t>
            </w:r>
          </w:p>
        </w:tc>
      </w:tr>
      <w:tr w:rsidR="00623085" w:rsidRPr="00E72CA6" w14:paraId="4F850F25" w14:textId="77777777" w:rsidTr="00766D7B">
        <w:trPr>
          <w:trHeight w:val="300"/>
        </w:trPr>
        <w:tc>
          <w:tcPr>
            <w:tcW w:w="3416" w:type="dxa"/>
            <w:shd w:val="clear" w:color="auto" w:fill="auto"/>
            <w:noWrap/>
            <w:vAlign w:val="bottom"/>
            <w:hideMark/>
          </w:tcPr>
          <w:p w14:paraId="4A741263" w14:textId="77777777" w:rsidR="00623085" w:rsidRPr="00E72CA6" w:rsidRDefault="00623085" w:rsidP="00766D7B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X-ray Overview UT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61F24AE3" w14:textId="77777777" w:rsidR="00623085" w:rsidRPr="00E72CA6" w:rsidRDefault="00623085" w:rsidP="00766D7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SKX0AA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272FC806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4149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6F1954AF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3838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9D2BADB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2916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64573202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2098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00265763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1417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59F33094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1038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619B7FC6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737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2581A746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367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79FAE1D2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324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28B63ABD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247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71F82B77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17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</w:t>
            </w: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131</w:t>
            </w:r>
          </w:p>
        </w:tc>
        <w:tc>
          <w:tcPr>
            <w:tcW w:w="888" w:type="dxa"/>
            <w:shd w:val="clear" w:color="auto" w:fill="auto"/>
            <w:noWrap/>
            <w:vAlign w:val="bottom"/>
            <w:hideMark/>
          </w:tcPr>
          <w:p w14:paraId="58A86705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2.3</w:t>
            </w:r>
          </w:p>
        </w:tc>
      </w:tr>
      <w:tr w:rsidR="00623085" w:rsidRPr="00E72CA6" w14:paraId="5AC30675" w14:textId="77777777" w:rsidTr="00766D7B">
        <w:trPr>
          <w:trHeight w:val="300"/>
        </w:trPr>
        <w:tc>
          <w:tcPr>
            <w:tcW w:w="3416" w:type="dxa"/>
            <w:shd w:val="clear" w:color="auto" w:fill="auto"/>
            <w:noWrap/>
            <w:vAlign w:val="bottom"/>
            <w:hideMark/>
          </w:tcPr>
          <w:p w14:paraId="3EA2E099" w14:textId="77777777" w:rsidR="00623085" w:rsidRPr="00E72CA6" w:rsidRDefault="00623085" w:rsidP="00766D7B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X-ray Pyelography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14:paraId="098F257A" w14:textId="77777777" w:rsidR="00623085" w:rsidRPr="00E72CA6" w:rsidRDefault="00623085" w:rsidP="00766D7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SKX0BA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539D6F45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</w:t>
            </w: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198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59C27B83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</w:t>
            </w: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117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14:paraId="15093B71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</w:t>
            </w: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230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1E3A1247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</w:t>
            </w: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533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34DBF86C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</w:t>
            </w: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488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75D61DC6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</w:t>
            </w: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405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32412D44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</w:t>
            </w: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396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097258C2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</w:t>
            </w: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306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02C3AFCB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</w:t>
            </w: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250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283BC3C2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</w:t>
            </w: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091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17D1A81F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13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</w:t>
            </w: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014</w:t>
            </w:r>
          </w:p>
        </w:tc>
        <w:tc>
          <w:tcPr>
            <w:tcW w:w="888" w:type="dxa"/>
            <w:shd w:val="clear" w:color="auto" w:fill="auto"/>
            <w:noWrap/>
            <w:vAlign w:val="bottom"/>
            <w:hideMark/>
          </w:tcPr>
          <w:p w14:paraId="612B720B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1.7</w:t>
            </w:r>
          </w:p>
        </w:tc>
      </w:tr>
      <w:tr w:rsidR="00623085" w:rsidRPr="00E72CA6" w14:paraId="00898EEC" w14:textId="77777777" w:rsidTr="00766D7B">
        <w:trPr>
          <w:trHeight w:val="300"/>
        </w:trPr>
        <w:tc>
          <w:tcPr>
            <w:tcW w:w="3416" w:type="dxa"/>
            <w:shd w:val="clear" w:color="auto" w:fill="auto"/>
            <w:noWrap/>
            <w:vAlign w:val="bottom"/>
            <w:hideMark/>
          </w:tcPr>
          <w:p w14:paraId="06DB9704" w14:textId="77777777" w:rsidR="00623085" w:rsidRPr="00E72CA6" w:rsidRDefault="00623085" w:rsidP="00766D7B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X-ray micturition cystourethrography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14:paraId="313D2622" w14:textId="77777777" w:rsidR="00623085" w:rsidRPr="00E72CA6" w:rsidRDefault="00623085" w:rsidP="00766D7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SKX0DA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11ECAA3D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898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3F4BAF5E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996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14:paraId="55936E62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</w:t>
            </w: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050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13FE7926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</w:t>
            </w: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072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247A6E97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</w:t>
            </w: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020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07F14AC9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989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4ECEAFC6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852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6A3A25F4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748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53CEF87A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759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461F3D4E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562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377FC323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</w:t>
            </w: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946</w:t>
            </w:r>
          </w:p>
        </w:tc>
        <w:tc>
          <w:tcPr>
            <w:tcW w:w="888" w:type="dxa"/>
            <w:shd w:val="clear" w:color="auto" w:fill="auto"/>
            <w:noWrap/>
            <w:vAlign w:val="bottom"/>
            <w:hideMark/>
          </w:tcPr>
          <w:p w14:paraId="3B6DDB79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1.2</w:t>
            </w:r>
          </w:p>
        </w:tc>
      </w:tr>
      <w:tr w:rsidR="00623085" w:rsidRPr="00E72CA6" w14:paraId="20503AF8" w14:textId="77777777" w:rsidTr="00766D7B">
        <w:trPr>
          <w:trHeight w:val="300"/>
        </w:trPr>
        <w:tc>
          <w:tcPr>
            <w:tcW w:w="3416" w:type="dxa"/>
            <w:shd w:val="clear" w:color="auto" w:fill="auto"/>
            <w:noWrap/>
            <w:vAlign w:val="bottom"/>
            <w:hideMark/>
          </w:tcPr>
          <w:p w14:paraId="383C9EAB" w14:textId="77777777" w:rsidR="00623085" w:rsidRPr="00E72CA6" w:rsidRDefault="00623085" w:rsidP="00766D7B">
            <w:pPr>
              <w:spacing w:after="0" w:line="360" w:lineRule="auto"/>
              <w:rPr>
                <w:rFonts w:ascii="Aptos" w:eastAsia="Times New Roman" w:hAnsi="Aptos" w:cs="Calibri"/>
                <w:color w:val="000000"/>
                <w:sz w:val="19"/>
                <w:szCs w:val="19"/>
              </w:rPr>
            </w:pPr>
            <w:r w:rsidRPr="00E72CA6">
              <w:rPr>
                <w:rFonts w:ascii="Aptos" w:eastAsia="Times New Roman" w:hAnsi="Aptos" w:cs="Calibri"/>
                <w:color w:val="000000"/>
                <w:sz w:val="19"/>
                <w:szCs w:val="19"/>
              </w:rPr>
              <w:t>Ultrasound of the kidneys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14:paraId="089FE309" w14:textId="77777777" w:rsidR="00623085" w:rsidRPr="00E72CA6" w:rsidRDefault="00623085" w:rsidP="00766D7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SKA0BK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78D59833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11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353CC4C1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4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14:paraId="7754ED10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8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10176D8F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26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6DD2CC68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33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4AF89A3B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441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3E41AB5E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</w:t>
            </w: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165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7857F822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</w:t>
            </w: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162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61D71906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</w:t>
            </w: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371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13E7F1F2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</w:t>
            </w: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251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44398092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</w:t>
            </w: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472</w:t>
            </w:r>
          </w:p>
        </w:tc>
        <w:tc>
          <w:tcPr>
            <w:tcW w:w="888" w:type="dxa"/>
            <w:shd w:val="clear" w:color="auto" w:fill="auto"/>
            <w:noWrap/>
            <w:vAlign w:val="bottom"/>
            <w:hideMark/>
          </w:tcPr>
          <w:p w14:paraId="6D062898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0.7</w:t>
            </w:r>
          </w:p>
        </w:tc>
      </w:tr>
      <w:tr w:rsidR="00623085" w:rsidRPr="00E72CA6" w14:paraId="28D99679" w14:textId="77777777" w:rsidTr="00766D7B">
        <w:trPr>
          <w:trHeight w:val="315"/>
        </w:trPr>
        <w:tc>
          <w:tcPr>
            <w:tcW w:w="3416" w:type="dxa"/>
            <w:shd w:val="clear" w:color="auto" w:fill="auto"/>
            <w:noWrap/>
            <w:vAlign w:val="bottom"/>
            <w:hideMark/>
          </w:tcPr>
          <w:p w14:paraId="40F2F75D" w14:textId="77777777" w:rsidR="00623085" w:rsidRPr="00E72CA6" w:rsidRDefault="00623085" w:rsidP="00766D7B">
            <w:pPr>
              <w:spacing w:after="0" w:line="360" w:lineRule="auto"/>
              <w:rPr>
                <w:rFonts w:ascii="Aptos" w:eastAsia="Times New Roman" w:hAnsi="Aptos" w:cs="Calibri"/>
                <w:color w:val="000000"/>
                <w:sz w:val="19"/>
                <w:szCs w:val="19"/>
              </w:rPr>
            </w:pPr>
            <w:r w:rsidRPr="00E72CA6">
              <w:rPr>
                <w:rFonts w:ascii="Aptos" w:eastAsia="Times New Roman" w:hAnsi="Aptos" w:cs="Calibri"/>
                <w:color w:val="000000"/>
                <w:sz w:val="19"/>
                <w:szCs w:val="19"/>
              </w:rPr>
              <w:t>NM Renography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14:paraId="44087843" w14:textId="77777777" w:rsidR="00623085" w:rsidRPr="00E72CA6" w:rsidRDefault="00623085" w:rsidP="00766D7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TKA0BN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13FA7523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756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0A6C8E8B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684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14:paraId="01A52146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763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36FA2570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646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357B1D92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602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4F2A2DD9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569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202DC66F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375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172259AF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283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1BD73B62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219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2B0DE9E8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165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4FD331D0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</w:t>
            </w: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062</w:t>
            </w:r>
          </w:p>
        </w:tc>
        <w:tc>
          <w:tcPr>
            <w:tcW w:w="888" w:type="dxa"/>
            <w:shd w:val="clear" w:color="auto" w:fill="auto"/>
            <w:noWrap/>
            <w:vAlign w:val="bottom"/>
            <w:hideMark/>
          </w:tcPr>
          <w:p w14:paraId="742ACBCE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0.7</w:t>
            </w:r>
          </w:p>
        </w:tc>
      </w:tr>
      <w:tr w:rsidR="00623085" w:rsidRPr="00E72CA6" w14:paraId="101D35EE" w14:textId="77777777" w:rsidTr="00766D7B">
        <w:trPr>
          <w:trHeight w:val="315"/>
        </w:trPr>
        <w:tc>
          <w:tcPr>
            <w:tcW w:w="3416" w:type="dxa"/>
            <w:shd w:val="clear" w:color="auto" w:fill="auto"/>
            <w:noWrap/>
            <w:vAlign w:val="center"/>
            <w:hideMark/>
          </w:tcPr>
          <w:p w14:paraId="3E6E6484" w14:textId="77777777" w:rsidR="00623085" w:rsidRPr="00E72CA6" w:rsidRDefault="00623085" w:rsidP="00766D7B">
            <w:pPr>
              <w:spacing w:after="0" w:line="360" w:lineRule="auto"/>
              <w:rPr>
                <w:rFonts w:ascii="Aptos" w:eastAsia="Times New Roman" w:hAnsi="Aptos" w:cs="Calibri"/>
                <w:color w:val="000000"/>
                <w:sz w:val="19"/>
                <w:szCs w:val="19"/>
              </w:rPr>
            </w:pPr>
            <w:r w:rsidRPr="00E72CA6">
              <w:rPr>
                <w:rFonts w:ascii="Aptos" w:eastAsia="Times New Roman" w:hAnsi="Aptos" w:cs="Calibri"/>
                <w:color w:val="000000"/>
                <w:sz w:val="19"/>
                <w:szCs w:val="19"/>
              </w:rPr>
              <w:t>NM scintigraphy of the kidneys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14:paraId="2C12FD83" w14:textId="77777777" w:rsidR="00623085" w:rsidRPr="00E72CA6" w:rsidRDefault="00623085" w:rsidP="00766D7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TKA0AN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6F945118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686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27F80300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707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14:paraId="7097E573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559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0E4A4D70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500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53898173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517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5D3808B8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522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49B362EB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443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01E6B6AE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405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0AFAD481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407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53B7218C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311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338EC9AC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</w:t>
            </w: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057</w:t>
            </w:r>
          </w:p>
        </w:tc>
        <w:tc>
          <w:tcPr>
            <w:tcW w:w="888" w:type="dxa"/>
            <w:shd w:val="clear" w:color="auto" w:fill="auto"/>
            <w:noWrap/>
            <w:vAlign w:val="bottom"/>
            <w:hideMark/>
          </w:tcPr>
          <w:p w14:paraId="07DBA387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0.7</w:t>
            </w:r>
          </w:p>
        </w:tc>
      </w:tr>
      <w:tr w:rsidR="00623085" w:rsidRPr="00E72CA6" w14:paraId="146E4734" w14:textId="77777777" w:rsidTr="00766D7B">
        <w:trPr>
          <w:trHeight w:val="315"/>
        </w:trPr>
        <w:tc>
          <w:tcPr>
            <w:tcW w:w="3416" w:type="dxa"/>
            <w:shd w:val="clear" w:color="auto" w:fill="auto"/>
            <w:noWrap/>
            <w:vAlign w:val="bottom"/>
            <w:hideMark/>
          </w:tcPr>
          <w:p w14:paraId="4BAAB4AA" w14:textId="77777777" w:rsidR="00623085" w:rsidRPr="00E72CA6" w:rsidRDefault="00623085" w:rsidP="00766D7B">
            <w:pPr>
              <w:spacing w:after="0" w:line="360" w:lineRule="auto"/>
              <w:rPr>
                <w:rFonts w:ascii="Aptos" w:eastAsia="Times New Roman" w:hAnsi="Aptos" w:cs="Calibri"/>
                <w:color w:val="000000"/>
                <w:sz w:val="19"/>
                <w:szCs w:val="19"/>
              </w:rPr>
            </w:pPr>
            <w:r w:rsidRPr="00E72CA6">
              <w:rPr>
                <w:rFonts w:ascii="Aptos" w:eastAsia="Times New Roman" w:hAnsi="Aptos" w:cs="Calibri"/>
                <w:color w:val="000000"/>
                <w:sz w:val="19"/>
                <w:szCs w:val="19"/>
              </w:rPr>
              <w:t>Uroflowmetry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14:paraId="6EE1C95A" w14:textId="77777777" w:rsidR="00623085" w:rsidRPr="00E72CA6" w:rsidRDefault="00623085" w:rsidP="00766D7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KXFF00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66F67B9A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168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18F0B12B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154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14:paraId="64C97983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0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20478DF4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0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741D8AAD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0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2C5E022A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322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2D85CDB7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0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0131B1C3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0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6A7D35DE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0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6088700C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0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6D3F5EF6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644</w:t>
            </w:r>
          </w:p>
        </w:tc>
        <w:tc>
          <w:tcPr>
            <w:tcW w:w="888" w:type="dxa"/>
            <w:shd w:val="clear" w:color="auto" w:fill="auto"/>
            <w:noWrap/>
            <w:vAlign w:val="bottom"/>
            <w:hideMark/>
          </w:tcPr>
          <w:p w14:paraId="332B0512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0.1</w:t>
            </w:r>
          </w:p>
        </w:tc>
      </w:tr>
      <w:tr w:rsidR="00623085" w:rsidRPr="00E72CA6" w14:paraId="00E92EEF" w14:textId="77777777" w:rsidTr="00766D7B">
        <w:trPr>
          <w:trHeight w:val="315"/>
        </w:trPr>
        <w:tc>
          <w:tcPr>
            <w:tcW w:w="3416" w:type="dxa"/>
            <w:shd w:val="clear" w:color="auto" w:fill="auto"/>
            <w:noWrap/>
            <w:vAlign w:val="center"/>
            <w:hideMark/>
          </w:tcPr>
          <w:p w14:paraId="65AE4A30" w14:textId="77777777" w:rsidR="00623085" w:rsidRPr="00E72CA6" w:rsidRDefault="00623085" w:rsidP="00766D7B">
            <w:pPr>
              <w:spacing w:after="0" w:line="360" w:lineRule="auto"/>
              <w:rPr>
                <w:rFonts w:ascii="Aptos" w:eastAsia="Times New Roman" w:hAnsi="Aptos" w:cs="Calibri"/>
                <w:color w:val="000000"/>
                <w:sz w:val="19"/>
                <w:szCs w:val="19"/>
              </w:rPr>
            </w:pPr>
            <w:r w:rsidRPr="00E72CA6">
              <w:rPr>
                <w:rFonts w:ascii="Aptos" w:eastAsia="Times New Roman" w:hAnsi="Aptos" w:cs="Calibri"/>
                <w:color w:val="000000"/>
                <w:sz w:val="19"/>
                <w:szCs w:val="19"/>
              </w:rPr>
              <w:t>X-ray of UT with GFR measurement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14:paraId="6A610B65" w14:textId="77777777" w:rsidR="00623085" w:rsidRPr="00E72CA6" w:rsidRDefault="00623085" w:rsidP="00766D7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SKX0FA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27FF1A7A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2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00A78CAC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1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14:paraId="36CC4780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1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55DFC900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1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052EDF98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0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72446E7B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2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464F6197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6E5FAFE6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7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67EC06C9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0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64CD2D27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0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2E4A0CBB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14</w:t>
            </w:r>
          </w:p>
        </w:tc>
        <w:tc>
          <w:tcPr>
            <w:tcW w:w="888" w:type="dxa"/>
            <w:shd w:val="clear" w:color="auto" w:fill="auto"/>
            <w:noWrap/>
            <w:vAlign w:val="bottom"/>
            <w:hideMark/>
          </w:tcPr>
          <w:p w14:paraId="69D73A6C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0</w:t>
            </w:r>
          </w:p>
        </w:tc>
      </w:tr>
      <w:tr w:rsidR="00623085" w:rsidRPr="00E72CA6" w14:paraId="2A8D2086" w14:textId="77777777" w:rsidTr="00766D7B">
        <w:trPr>
          <w:trHeight w:val="300"/>
        </w:trPr>
        <w:tc>
          <w:tcPr>
            <w:tcW w:w="3416" w:type="dxa"/>
            <w:shd w:val="clear" w:color="auto" w:fill="auto"/>
            <w:noWrap/>
            <w:vAlign w:val="bottom"/>
            <w:hideMark/>
          </w:tcPr>
          <w:p w14:paraId="0CBA374E" w14:textId="77777777" w:rsidR="00623085" w:rsidRPr="00E72CA6" w:rsidRDefault="00623085" w:rsidP="00766D7B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5EE872D1" w14:textId="77777777" w:rsidR="00623085" w:rsidRPr="00E72CA6" w:rsidRDefault="00623085" w:rsidP="00766D7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All codes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1689AC35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67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,</w:t>
            </w:r>
            <w:r w:rsidRPr="00E72CA6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758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3AA03B2E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79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,</w:t>
            </w:r>
            <w:r w:rsidRPr="00E72CA6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166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00B29F4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78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,</w:t>
            </w:r>
            <w:r w:rsidRPr="00E72CA6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656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3755521A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78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,</w:t>
            </w:r>
            <w:r w:rsidRPr="00E72CA6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917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5F3B8ED4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77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,</w:t>
            </w:r>
            <w:r w:rsidRPr="00E72CA6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685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0AE33DA0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77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,</w:t>
            </w:r>
            <w:r w:rsidRPr="00E72CA6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687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4ABFD819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78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,</w:t>
            </w:r>
            <w:r w:rsidRPr="00E72CA6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344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3CD22108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68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,</w:t>
            </w:r>
            <w:r w:rsidRPr="00E72CA6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800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644A0399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71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,</w:t>
            </w:r>
            <w:r w:rsidRPr="00E72CA6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543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067900AB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69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,</w:t>
            </w:r>
            <w:r w:rsidRPr="00E72CA6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413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6B1B4BCD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747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,</w:t>
            </w:r>
            <w:r w:rsidRPr="00E72CA6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969</w:t>
            </w:r>
          </w:p>
        </w:tc>
        <w:tc>
          <w:tcPr>
            <w:tcW w:w="888" w:type="dxa"/>
            <w:shd w:val="clear" w:color="auto" w:fill="auto"/>
            <w:noWrap/>
            <w:vAlign w:val="bottom"/>
            <w:hideMark/>
          </w:tcPr>
          <w:p w14:paraId="1137F3B5" w14:textId="77777777" w:rsidR="00623085" w:rsidRPr="00E72CA6" w:rsidRDefault="00623085" w:rsidP="00766D7B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</w:pPr>
            <w:r w:rsidRPr="00E72CA6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100</w:t>
            </w:r>
          </w:p>
        </w:tc>
      </w:tr>
    </w:tbl>
    <w:p w14:paraId="0325903F" w14:textId="77777777" w:rsidR="00623085" w:rsidRDefault="00623085" w:rsidP="00623085">
      <w:pPr>
        <w:spacing w:line="360" w:lineRule="auto"/>
      </w:pPr>
    </w:p>
    <w:p w14:paraId="531B7303" w14:textId="77777777" w:rsidR="00623085" w:rsidRDefault="00623085" w:rsidP="00623085">
      <w:pPr>
        <w:spacing w:line="360" w:lineRule="auto"/>
      </w:pPr>
    </w:p>
    <w:p w14:paraId="5F1827C9" w14:textId="77777777" w:rsidR="00623085" w:rsidRPr="009E25AF" w:rsidRDefault="00623085" w:rsidP="00623085">
      <w:pPr>
        <w:spacing w:line="360" w:lineRule="auto"/>
        <w:rPr>
          <w:lang w:val="en-GB"/>
        </w:rPr>
        <w:sectPr w:rsidR="00623085" w:rsidRPr="009E25AF" w:rsidSect="00623085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CBB37DD" w14:textId="61E22BFE" w:rsidR="00623085" w:rsidRDefault="006113BE" w:rsidP="00623085">
      <w:pPr>
        <w:pStyle w:val="Heading1"/>
        <w:rPr>
          <w:rFonts w:cs="Times New Roman"/>
        </w:rPr>
      </w:pPr>
      <w:r>
        <w:rPr>
          <w:rFonts w:cs="Times New Roman"/>
        </w:rPr>
        <w:lastRenderedPageBreak/>
        <w:t xml:space="preserve">Supplementary </w:t>
      </w:r>
      <w:r w:rsidR="00623085">
        <w:rPr>
          <w:rFonts w:cs="Times New Roman"/>
        </w:rPr>
        <w:t xml:space="preserve">Figure </w:t>
      </w:r>
    </w:p>
    <w:p w14:paraId="16580917" w14:textId="77777777" w:rsidR="006113BE" w:rsidRDefault="006113BE" w:rsidP="00623085">
      <w:pPr>
        <w:ind w:left="1276" w:hanging="1276"/>
        <w:rPr>
          <w:b/>
          <w:bCs/>
          <w:szCs w:val="24"/>
        </w:rPr>
      </w:pPr>
      <w:r>
        <w:rPr>
          <w:noProof/>
        </w:rPr>
        <w:drawing>
          <wp:inline distT="0" distB="0" distL="0" distR="0" wp14:anchorId="761CAB87" wp14:editId="259F7600">
            <wp:extent cx="5943600" cy="1803400"/>
            <wp:effectExtent l="0" t="0" r="0" b="6350"/>
            <wp:docPr id="1821960281" name="Picture 1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960281" name="Picture 1" descr="A screenshot of a grap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CB20B" w14:textId="08E3C8EA" w:rsidR="00623085" w:rsidRPr="0086508E" w:rsidRDefault="00623085" w:rsidP="006C68A0">
      <w:pPr>
        <w:spacing w:line="240" w:lineRule="auto"/>
        <w:ind w:left="1276" w:hanging="1276"/>
        <w:rPr>
          <w:szCs w:val="24"/>
        </w:rPr>
      </w:pPr>
      <w:r>
        <w:rPr>
          <w:b/>
          <w:bCs/>
          <w:szCs w:val="24"/>
        </w:rPr>
        <w:t xml:space="preserve">Figure </w:t>
      </w:r>
      <w:r w:rsidR="00F352BF">
        <w:rPr>
          <w:b/>
          <w:bCs/>
          <w:szCs w:val="24"/>
        </w:rPr>
        <w:t>S1</w:t>
      </w:r>
      <w:r>
        <w:rPr>
          <w:b/>
          <w:bCs/>
          <w:szCs w:val="24"/>
        </w:rPr>
        <w:t xml:space="preserve">      </w:t>
      </w:r>
      <w:r w:rsidRPr="00D96C55">
        <w:t xml:space="preserve">Scatter plot of number of CTs of the urinary tract per 10,000 inhabitants (a) and number of CT machines (b) versus average wait time in weeks for the various </w:t>
      </w:r>
      <w:r>
        <w:t>hospital</w:t>
      </w:r>
      <w:r w:rsidRPr="00D96C55">
        <w:t xml:space="preserve"> trusts</w:t>
      </w:r>
    </w:p>
    <w:p w14:paraId="3815220C" w14:textId="4B7CCA60" w:rsidR="00623085" w:rsidRDefault="00623085"/>
    <w:sectPr w:rsidR="006230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62662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B73CCC" w14:textId="77777777" w:rsidR="00623085" w:rsidRDefault="0062308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A407B1" w14:textId="77777777" w:rsidR="00623085" w:rsidRDefault="0062308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85"/>
    <w:rsid w:val="004223A2"/>
    <w:rsid w:val="006113BE"/>
    <w:rsid w:val="00623085"/>
    <w:rsid w:val="006C68A0"/>
    <w:rsid w:val="00F3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96A73F"/>
  <w15:chartTrackingRefBased/>
  <w15:docId w15:val="{A708DFFC-999C-471E-BCA8-F2BD006E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085"/>
    <w:pPr>
      <w:spacing w:before="120" w:after="240" w:line="480" w:lineRule="auto"/>
    </w:pPr>
    <w:rPr>
      <w:rFonts w:ascii="Times New Roman" w:hAnsi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308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308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08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308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308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308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308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3085"/>
    <w:pPr>
      <w:keepNext/>
      <w:keepLines/>
      <w:spacing w:before="0"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3085"/>
    <w:pPr>
      <w:keepNext/>
      <w:keepLines/>
      <w:spacing w:before="0"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0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30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0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30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30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30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30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30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30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3085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23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085"/>
    <w:pPr>
      <w:numPr>
        <w:ilvl w:val="1"/>
      </w:numPr>
      <w:spacing w:before="0"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23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3085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230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3085"/>
    <w:pPr>
      <w:spacing w:before="0" w:after="160"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230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30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30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3085"/>
    <w:rPr>
      <w:b/>
      <w:bCs/>
      <w:smallCaps/>
      <w:color w:val="0F4761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623085"/>
    <w:pPr>
      <w:spacing w:after="0" w:line="240" w:lineRule="auto"/>
    </w:pPr>
    <w:rPr>
      <w:sz w:val="22"/>
      <w:szCs w:val="22"/>
      <w:lang w:val="nb-NO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er">
    <w:name w:val="footer"/>
    <w:basedOn w:val="Normal"/>
    <w:link w:val="FooterChar"/>
    <w:uiPriority w:val="99"/>
    <w:unhideWhenUsed/>
    <w:rsid w:val="0062308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23085"/>
    <w:rPr>
      <w:rFonts w:ascii="Times New Roman" w:hAnsi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63b6811-b0a4-4b2a-b932-72c4c970c5d2}" enabled="0" method="" siteId="{463b6811-b0a4-4b2a-b932-72c4c970c5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Morten Hofmann</dc:creator>
  <cp:keywords/>
  <dc:description/>
  <cp:lastModifiedBy>Bjørn Morten Hofmann</cp:lastModifiedBy>
  <cp:revision>5</cp:revision>
  <dcterms:created xsi:type="dcterms:W3CDTF">2026-01-13T17:43:00Z</dcterms:created>
  <dcterms:modified xsi:type="dcterms:W3CDTF">2026-01-13T17:57:00Z</dcterms:modified>
</cp:coreProperties>
</file>