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DB0F9F" w14:textId="46DB1358" w:rsidR="00903DC3" w:rsidRDefault="00903DC3" w:rsidP="00903DC3">
      <w:pPr>
        <w:jc w:val="both"/>
        <w:rPr>
          <w:rFonts w:cs="Arial"/>
        </w:rPr>
      </w:pPr>
    </w:p>
    <w:p w14:paraId="63F35114" w14:textId="77777777" w:rsidR="00903DC3" w:rsidRDefault="00903DC3" w:rsidP="00903DC3">
      <w:pPr>
        <w:jc w:val="both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54901D5B" wp14:editId="37C30825">
            <wp:extent cx="5943600" cy="3671570"/>
            <wp:effectExtent l="0" t="0" r="0" b="0"/>
            <wp:docPr id="6" name="Picture 6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applicatio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A5219" w14:textId="77777777" w:rsidR="00903DC3" w:rsidRDefault="00903DC3" w:rsidP="00903DC3">
      <w:pPr>
        <w:jc w:val="both"/>
        <w:rPr>
          <w:rFonts w:cs="Arial"/>
        </w:rPr>
      </w:pPr>
      <w:r>
        <w:rPr>
          <w:rFonts w:cs="Arial"/>
          <w:b/>
          <w:bCs/>
        </w:rPr>
        <w:t xml:space="preserve">Extended Data Figure 1. FKBP12-Rapamycin interaction contributes to cellular accumulation of a fluorescent analog of RapaLink-1. </w:t>
      </w:r>
      <w:r w:rsidRPr="006178EB">
        <w:rPr>
          <w:rFonts w:cs="Arial"/>
          <w:b/>
          <w:bCs/>
        </w:rPr>
        <w:t>a</w:t>
      </w:r>
      <w:r>
        <w:rPr>
          <w:rFonts w:cs="Arial"/>
        </w:rPr>
        <w:t>,</w:t>
      </w:r>
      <w:r>
        <w:rPr>
          <w:rFonts w:cs="Arial"/>
          <w:b/>
          <w:bCs/>
        </w:rPr>
        <w:t xml:space="preserve"> </w:t>
      </w:r>
      <w:r>
        <w:rPr>
          <w:rFonts w:cs="Arial"/>
        </w:rPr>
        <w:t xml:space="preserve">Illustration of the flow cytometry-based assay to assess cellular accumulation of TAMRA compounds.  </w:t>
      </w:r>
      <w:r w:rsidRPr="006178EB">
        <w:rPr>
          <w:rFonts w:cs="Arial"/>
          <w:b/>
          <w:bCs/>
        </w:rPr>
        <w:t>b</w:t>
      </w:r>
      <w:r>
        <w:rPr>
          <w:rFonts w:cs="Arial"/>
        </w:rPr>
        <w:t xml:space="preserve">, Structure of a fluorescent probe Rapa-TAMRA.  </w:t>
      </w:r>
      <w:r w:rsidRPr="006178EB">
        <w:rPr>
          <w:rFonts w:cs="Arial"/>
          <w:b/>
          <w:bCs/>
        </w:rPr>
        <w:t>c</w:t>
      </w:r>
      <w:r>
        <w:rPr>
          <w:rFonts w:cs="Arial"/>
        </w:rPr>
        <w:t>, FKBP12 knockdown decreases cellular retention of Rapa-TAMRA, but not TAMRA-PEG8-N3.  See Supplementary Information for gating strategy.</w:t>
      </w:r>
      <w:r>
        <w:rPr>
          <w:rFonts w:cs="Arial"/>
        </w:rPr>
        <w:br w:type="page"/>
      </w:r>
    </w:p>
    <w:p w14:paraId="57AC36CA" w14:textId="77777777" w:rsidR="00903DC3" w:rsidRDefault="00903DC3" w:rsidP="00903DC3">
      <w:pPr>
        <w:jc w:val="both"/>
        <w:rPr>
          <w:rFonts w:cs="Arial"/>
          <w:b/>
          <w:bCs/>
        </w:rPr>
      </w:pPr>
      <w:r>
        <w:rPr>
          <w:rFonts w:cs="Arial"/>
          <w:b/>
          <w:bCs/>
          <w:noProof/>
        </w:rPr>
        <w:lastRenderedPageBreak/>
        <w:drawing>
          <wp:inline distT="0" distB="0" distL="0" distR="0" wp14:anchorId="501C5659" wp14:editId="6A29652D">
            <wp:extent cx="5943600" cy="558863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8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EB595" w14:textId="77777777" w:rsidR="00903DC3" w:rsidRDefault="00903DC3" w:rsidP="00903DC3">
      <w:pPr>
        <w:jc w:val="both"/>
        <w:rPr>
          <w:rFonts w:cs="Arial"/>
        </w:rPr>
      </w:pPr>
      <w:r>
        <w:rPr>
          <w:rFonts w:cs="Arial"/>
          <w:b/>
          <w:bCs/>
        </w:rPr>
        <w:t xml:space="preserve">Extended Data Figure 2. </w:t>
      </w:r>
      <w:r>
        <w:rPr>
          <w:rFonts w:cs="Arial"/>
        </w:rPr>
        <w:t>Structures polar FKBP12 ligands synthesized (</w:t>
      </w:r>
      <w:r w:rsidRPr="006178EB">
        <w:rPr>
          <w:rFonts w:cs="Arial"/>
          <w:b/>
          <w:bCs/>
        </w:rPr>
        <w:t>a</w:t>
      </w:r>
      <w:r>
        <w:rPr>
          <w:rFonts w:cs="Arial"/>
        </w:rPr>
        <w:t xml:space="preserve">, SLF derivatives; </w:t>
      </w:r>
      <w:r w:rsidRPr="006178EB">
        <w:rPr>
          <w:rFonts w:cs="Arial"/>
          <w:b/>
          <w:bCs/>
        </w:rPr>
        <w:t>b</w:t>
      </w:r>
      <w:r>
        <w:rPr>
          <w:rFonts w:cs="Arial"/>
        </w:rPr>
        <w:t>, FK506 derivatives). Listed in the table are their affinity to recombinant FKBP12 (fluorescence polarization assay) and their efficacy of blocking mTOR inhibition by rapamycin or RapaLink-1 (assessed by w</w:t>
      </w:r>
      <w:r w:rsidRPr="00131447">
        <w:rPr>
          <w:rFonts w:cs="Arial"/>
        </w:rPr>
        <w:t xml:space="preserve">estern </w:t>
      </w:r>
      <w:r>
        <w:rPr>
          <w:rFonts w:cs="Arial"/>
        </w:rPr>
        <w:t>b</w:t>
      </w:r>
      <w:r w:rsidRPr="00131447">
        <w:rPr>
          <w:rFonts w:cs="Arial"/>
        </w:rPr>
        <w:t xml:space="preserve">lot analysis of p-S6 level after </w:t>
      </w:r>
      <w:r>
        <w:rPr>
          <w:rFonts w:cs="Arial"/>
        </w:rPr>
        <w:t>t</w:t>
      </w:r>
      <w:r w:rsidRPr="00131447">
        <w:rPr>
          <w:rFonts w:cs="Arial"/>
        </w:rPr>
        <w:t xml:space="preserve">reatment of MCF7 cells with </w:t>
      </w:r>
      <w:r>
        <w:rPr>
          <w:rFonts w:cs="Arial"/>
        </w:rPr>
        <w:t xml:space="preserve">a combination of </w:t>
      </w:r>
      <w:r w:rsidRPr="00131447">
        <w:rPr>
          <w:rFonts w:cs="Arial"/>
        </w:rPr>
        <w:t xml:space="preserve">10 </w:t>
      </w:r>
      <w:proofErr w:type="spellStart"/>
      <w:r w:rsidRPr="00131447">
        <w:rPr>
          <w:rFonts w:cs="Arial"/>
        </w:rPr>
        <w:t>nM</w:t>
      </w:r>
      <w:proofErr w:type="spellEnd"/>
      <w:r w:rsidRPr="00131447">
        <w:rPr>
          <w:rFonts w:cs="Arial"/>
        </w:rPr>
        <w:t xml:space="preserve"> Rapa</w:t>
      </w:r>
      <w:r>
        <w:rPr>
          <w:rFonts w:cs="Arial"/>
        </w:rPr>
        <w:t>mycin</w:t>
      </w:r>
      <w:r w:rsidRPr="00131447">
        <w:rPr>
          <w:rFonts w:cs="Arial"/>
        </w:rPr>
        <w:t>/</w:t>
      </w:r>
      <w:proofErr w:type="spellStart"/>
      <w:r w:rsidRPr="00131447">
        <w:rPr>
          <w:rFonts w:cs="Arial"/>
        </w:rPr>
        <w:t>Rapalink</w:t>
      </w:r>
      <w:proofErr w:type="spellEnd"/>
      <w:r w:rsidRPr="00131447">
        <w:rPr>
          <w:rFonts w:cs="Arial"/>
        </w:rPr>
        <w:t xml:space="preserve"> + 10 µM candidate compound for 24 h. P-S6 level is quantified as fraction of DMSO control</w:t>
      </w:r>
      <w:r>
        <w:rPr>
          <w:rFonts w:cs="Arial"/>
        </w:rPr>
        <w:t>).</w:t>
      </w:r>
      <w:r w:rsidRPr="00131447" w:rsidDel="00131447">
        <w:rPr>
          <w:rFonts w:cs="Arial"/>
        </w:rPr>
        <w:t xml:space="preserve"> </w:t>
      </w:r>
      <w:r>
        <w:rPr>
          <w:rFonts w:cs="Arial"/>
        </w:rPr>
        <w:t xml:space="preserve"> ND, not determined.</w:t>
      </w:r>
      <w:r>
        <w:rPr>
          <w:rFonts w:cs="Arial"/>
        </w:rPr>
        <w:br w:type="page"/>
      </w:r>
    </w:p>
    <w:p w14:paraId="2348D292" w14:textId="77777777" w:rsidR="00903DC3" w:rsidRPr="00570A80" w:rsidRDefault="00903DC3" w:rsidP="00903DC3">
      <w:pPr>
        <w:jc w:val="both"/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 wp14:anchorId="511B6F2D" wp14:editId="2484E68B">
            <wp:extent cx="5943600" cy="33782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302C8" w14:textId="77777777" w:rsidR="00903DC3" w:rsidRDefault="00903DC3" w:rsidP="00903DC3">
      <w:pPr>
        <w:jc w:val="both"/>
        <w:rPr>
          <w:rFonts w:cs="Arial"/>
        </w:rPr>
      </w:pPr>
      <w:r>
        <w:rPr>
          <w:rFonts w:cs="Arial"/>
          <w:b/>
          <w:bCs/>
        </w:rPr>
        <w:t>Extended Data Figure 3</w:t>
      </w:r>
      <w:r>
        <w:rPr>
          <w:rFonts w:cs="Arial"/>
        </w:rPr>
        <w:t>.</w:t>
      </w:r>
      <w:r w:rsidRPr="00570A80">
        <w:rPr>
          <w:rFonts w:cs="Arial"/>
        </w:rPr>
        <w:t xml:space="preserve"> </w:t>
      </w:r>
      <w:r w:rsidRPr="009F7101">
        <w:rPr>
          <w:rFonts w:cs="Arial"/>
          <w:b/>
          <w:bCs/>
        </w:rPr>
        <w:t xml:space="preserve">Four candidate </w:t>
      </w:r>
      <w:proofErr w:type="spellStart"/>
      <w:r w:rsidRPr="009F7101">
        <w:rPr>
          <w:rFonts w:cs="Arial"/>
          <w:b/>
          <w:bCs/>
        </w:rPr>
        <w:t>RapaBlock</w:t>
      </w:r>
      <w:proofErr w:type="spellEnd"/>
      <w:r w:rsidRPr="009F7101">
        <w:rPr>
          <w:rFonts w:cs="Arial"/>
          <w:b/>
          <w:bCs/>
        </w:rPr>
        <w:t xml:space="preserve"> molecules were evaluated in cells (a) and </w:t>
      </w:r>
      <w:r w:rsidRPr="009F7101">
        <w:rPr>
          <w:rFonts w:cs="Arial"/>
          <w:b/>
          <w:bCs/>
          <w:i/>
          <w:iCs/>
        </w:rPr>
        <w:t>in vivo</w:t>
      </w:r>
      <w:r w:rsidRPr="009F7101">
        <w:rPr>
          <w:rFonts w:cs="Arial"/>
          <w:b/>
          <w:bCs/>
        </w:rPr>
        <w:t xml:space="preserve"> (b).</w:t>
      </w:r>
      <w:r>
        <w:rPr>
          <w:rFonts w:cs="Arial"/>
        </w:rPr>
        <w:br w:type="page"/>
      </w:r>
    </w:p>
    <w:p w14:paraId="434E8108" w14:textId="77777777" w:rsidR="00903DC3" w:rsidRDefault="00903DC3" w:rsidP="00903DC3">
      <w:pPr>
        <w:jc w:val="both"/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 wp14:anchorId="198D2A21" wp14:editId="57960057">
            <wp:extent cx="5943600" cy="316103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8E999" w14:textId="77777777" w:rsidR="00903DC3" w:rsidRDefault="00903DC3" w:rsidP="00903DC3">
      <w:pPr>
        <w:jc w:val="both"/>
        <w:rPr>
          <w:rFonts w:cs="Arial"/>
        </w:rPr>
      </w:pPr>
      <w:r>
        <w:rPr>
          <w:rFonts w:cs="Arial"/>
          <w:b/>
          <w:bCs/>
        </w:rPr>
        <w:t xml:space="preserve">Extended Data Figure 4. (Related to Extended Data Figure 1) FKBP12-FK506 interaction contributes to cellular accumulation of a fluorescence analog of FK506. </w:t>
      </w:r>
      <w:r w:rsidRPr="006178EB">
        <w:rPr>
          <w:rFonts w:cs="Arial"/>
          <w:b/>
          <w:bCs/>
        </w:rPr>
        <w:t>a</w:t>
      </w:r>
      <w:r>
        <w:rPr>
          <w:rFonts w:cs="Arial"/>
        </w:rPr>
        <w:t xml:space="preserve">, Structure of a fluorescent probe FK-TAMRA.  </w:t>
      </w:r>
      <w:r w:rsidRPr="006178EB">
        <w:rPr>
          <w:rFonts w:cs="Arial"/>
          <w:b/>
          <w:bCs/>
        </w:rPr>
        <w:t>b</w:t>
      </w:r>
      <w:r w:rsidRPr="006178EB">
        <w:rPr>
          <w:rFonts w:cs="Arial"/>
        </w:rPr>
        <w:t>,</w:t>
      </w:r>
      <w:r>
        <w:rPr>
          <w:rFonts w:cs="Arial"/>
        </w:rPr>
        <w:t xml:space="preserve"> FKBP12 knockdown decreases cellular retention of FK-TAMRA. See Supplementary Information for gating strategy.</w:t>
      </w:r>
      <w:r>
        <w:rPr>
          <w:rFonts w:cs="Arial"/>
        </w:rPr>
        <w:br w:type="page"/>
      </w:r>
    </w:p>
    <w:p w14:paraId="11E65652" w14:textId="77777777" w:rsidR="00903DC3" w:rsidRDefault="00903DC3" w:rsidP="00903DC3">
      <w:pPr>
        <w:jc w:val="both"/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 wp14:anchorId="3097E6F8" wp14:editId="4E847802">
            <wp:extent cx="5943600" cy="673354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3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A430F" w14:textId="77777777" w:rsidR="00903DC3" w:rsidRDefault="00903DC3" w:rsidP="00903DC3">
      <w:pPr>
        <w:jc w:val="both"/>
        <w:rPr>
          <w:rFonts w:cs="Arial"/>
        </w:rPr>
      </w:pPr>
      <w:r>
        <w:rPr>
          <w:rFonts w:cs="Arial"/>
          <w:b/>
          <w:bCs/>
        </w:rPr>
        <w:t>Extended Data Figure 5. FK-</w:t>
      </w:r>
      <w:proofErr w:type="spellStart"/>
      <w:r>
        <w:rPr>
          <w:rFonts w:cs="Arial"/>
          <w:b/>
          <w:bCs/>
        </w:rPr>
        <w:t>Dasatinib</w:t>
      </w:r>
      <w:proofErr w:type="spellEnd"/>
      <w:r>
        <w:rPr>
          <w:rFonts w:cs="Arial"/>
          <w:b/>
          <w:bCs/>
        </w:rPr>
        <w:t xml:space="preserve"> is a FKBP12-dependent </w:t>
      </w:r>
      <w:proofErr w:type="spellStart"/>
      <w:r>
        <w:rPr>
          <w:rFonts w:cs="Arial"/>
          <w:b/>
          <w:bCs/>
        </w:rPr>
        <w:t>Src</w:t>
      </w:r>
      <w:proofErr w:type="spellEnd"/>
      <w:r>
        <w:rPr>
          <w:rFonts w:cs="Arial"/>
          <w:b/>
          <w:bCs/>
        </w:rPr>
        <w:t xml:space="preserve"> family kinase inhibitor </w:t>
      </w:r>
      <w:r w:rsidRPr="00570A80">
        <w:rPr>
          <w:rFonts w:cs="Arial"/>
          <w:b/>
          <w:bCs/>
        </w:rPr>
        <w:t>with long cellular retention time</w:t>
      </w:r>
      <w:r>
        <w:rPr>
          <w:rFonts w:cs="Arial"/>
          <w:b/>
          <w:bCs/>
        </w:rPr>
        <w:t xml:space="preserve">. </w:t>
      </w:r>
      <w:r>
        <w:rPr>
          <w:rFonts w:cs="Arial"/>
        </w:rPr>
        <w:t xml:space="preserve"> </w:t>
      </w:r>
      <w:r w:rsidRPr="006178EB">
        <w:rPr>
          <w:rFonts w:cs="Arial"/>
          <w:b/>
          <w:bCs/>
        </w:rPr>
        <w:t>a</w:t>
      </w:r>
      <w:r>
        <w:rPr>
          <w:rFonts w:cs="Arial"/>
        </w:rPr>
        <w:t xml:space="preserve">, Structures of </w:t>
      </w:r>
      <w:proofErr w:type="spellStart"/>
      <w:r>
        <w:rPr>
          <w:rFonts w:cs="Arial"/>
        </w:rPr>
        <w:t>Dasatinib</w:t>
      </w:r>
      <w:proofErr w:type="spellEnd"/>
      <w:r>
        <w:rPr>
          <w:rFonts w:cs="Arial"/>
        </w:rPr>
        <w:t xml:space="preserve"> and FK-</w:t>
      </w:r>
      <w:proofErr w:type="spellStart"/>
      <w:r>
        <w:rPr>
          <w:rFonts w:cs="Arial"/>
        </w:rPr>
        <w:t>Dasatinib</w:t>
      </w:r>
      <w:proofErr w:type="spellEnd"/>
      <w:r>
        <w:rPr>
          <w:rFonts w:cs="Arial"/>
        </w:rPr>
        <w:t xml:space="preserve">. </w:t>
      </w:r>
      <w:proofErr w:type="gramStart"/>
      <w:r>
        <w:rPr>
          <w:rFonts w:cs="Arial"/>
          <w:b/>
          <w:bCs/>
        </w:rPr>
        <w:t>b</w:t>
      </w:r>
      <w:r>
        <w:rPr>
          <w:rFonts w:cs="Arial"/>
        </w:rPr>
        <w:t>,</w:t>
      </w:r>
      <w:proofErr w:type="gramEnd"/>
      <w:r>
        <w:rPr>
          <w:rFonts w:cs="Arial"/>
        </w:rPr>
        <w:t xml:space="preserve"> Proposed working model for FKBP-dependent kinase inhibitors.  </w:t>
      </w:r>
      <w:r>
        <w:rPr>
          <w:rFonts w:cs="Arial"/>
          <w:b/>
          <w:bCs/>
        </w:rPr>
        <w:t>c</w:t>
      </w:r>
      <w:r>
        <w:rPr>
          <w:rFonts w:cs="Arial"/>
        </w:rPr>
        <w:t xml:space="preserve">, Inhibition of </w:t>
      </w:r>
      <w:proofErr w:type="spellStart"/>
      <w:r>
        <w:rPr>
          <w:rFonts w:cs="Arial"/>
        </w:rPr>
        <w:t>Src</w:t>
      </w:r>
      <w:proofErr w:type="spellEnd"/>
      <w:r>
        <w:rPr>
          <w:rFonts w:cs="Arial"/>
        </w:rPr>
        <w:t xml:space="preserve">, </w:t>
      </w:r>
      <w:proofErr w:type="spellStart"/>
      <w:r>
        <w:rPr>
          <w:rFonts w:cs="Arial"/>
        </w:rPr>
        <w:t>Csk</w:t>
      </w:r>
      <w:proofErr w:type="spellEnd"/>
      <w:r>
        <w:rPr>
          <w:rFonts w:cs="Arial"/>
        </w:rPr>
        <w:t xml:space="preserve"> and DDR2</w:t>
      </w:r>
      <w:r w:rsidRPr="00570A80">
        <w:rPr>
          <w:rFonts w:cs="Arial"/>
        </w:rPr>
        <w:t xml:space="preserve"> </w:t>
      </w:r>
      <w:r>
        <w:rPr>
          <w:rFonts w:cs="Arial"/>
        </w:rPr>
        <w:t xml:space="preserve">kinases by </w:t>
      </w:r>
      <w:proofErr w:type="spellStart"/>
      <w:r>
        <w:rPr>
          <w:rFonts w:cs="Arial"/>
        </w:rPr>
        <w:t>Dasatinib</w:t>
      </w:r>
      <w:proofErr w:type="spellEnd"/>
      <w:r>
        <w:rPr>
          <w:rFonts w:cs="Arial"/>
        </w:rPr>
        <w:t xml:space="preserve"> and FK-</w:t>
      </w:r>
      <w:proofErr w:type="spellStart"/>
      <w:r>
        <w:rPr>
          <w:rFonts w:cs="Arial"/>
        </w:rPr>
        <w:t>Dasatinib</w:t>
      </w:r>
      <w:proofErr w:type="spellEnd"/>
      <w:r>
        <w:rPr>
          <w:rFonts w:cs="Arial"/>
        </w:rPr>
        <w:t xml:space="preserve"> </w:t>
      </w:r>
      <w:r w:rsidRPr="00570A80">
        <w:rPr>
          <w:rFonts w:cs="Arial"/>
        </w:rPr>
        <w:t xml:space="preserve">in the absence or presence of supplemented 10 µM recombinant FKBP12 protein. </w:t>
      </w:r>
      <w:r>
        <w:rPr>
          <w:rFonts w:cs="Arial"/>
        </w:rPr>
        <w:t xml:space="preserve"> </w:t>
      </w:r>
      <w:r w:rsidRPr="00570A80">
        <w:rPr>
          <w:rFonts w:cs="Arial"/>
        </w:rPr>
        <w:t>Data is the average of two replicates.</w:t>
      </w:r>
      <w:r>
        <w:rPr>
          <w:rFonts w:cs="Arial"/>
        </w:rPr>
        <w:t xml:space="preserve"> </w:t>
      </w:r>
      <w:r w:rsidRPr="006178EB">
        <w:rPr>
          <w:rFonts w:cs="Arial"/>
          <w:b/>
          <w:bCs/>
        </w:rPr>
        <w:lastRenderedPageBreak/>
        <w:t>d</w:t>
      </w:r>
      <w:r>
        <w:rPr>
          <w:rFonts w:cs="Arial"/>
        </w:rPr>
        <w:t xml:space="preserve">, Inhibition of K562 cell proliferation by </w:t>
      </w:r>
      <w:proofErr w:type="spellStart"/>
      <w:r>
        <w:rPr>
          <w:rFonts w:cs="Arial"/>
        </w:rPr>
        <w:t>Dasatinib</w:t>
      </w:r>
      <w:proofErr w:type="spellEnd"/>
      <w:r>
        <w:rPr>
          <w:rFonts w:cs="Arial"/>
        </w:rPr>
        <w:t xml:space="preserve"> and FK-</w:t>
      </w:r>
      <w:proofErr w:type="spellStart"/>
      <w:r>
        <w:rPr>
          <w:rFonts w:cs="Arial"/>
        </w:rPr>
        <w:t>Dasatinib</w:t>
      </w:r>
      <w:proofErr w:type="spellEnd"/>
      <w:r>
        <w:rPr>
          <w:rFonts w:cs="Arial"/>
        </w:rPr>
        <w:t xml:space="preserve">, in the presence or absence of 10 µM </w:t>
      </w:r>
      <w:proofErr w:type="spellStart"/>
      <w:r>
        <w:rPr>
          <w:rFonts w:cs="Arial"/>
        </w:rPr>
        <w:t>RapaBlock</w:t>
      </w:r>
      <w:proofErr w:type="spellEnd"/>
      <w:r>
        <w:rPr>
          <w:rFonts w:cs="Arial"/>
        </w:rPr>
        <w:t>. Data is the average of three replicates.</w:t>
      </w:r>
      <w:r w:rsidRPr="00570A80">
        <w:rPr>
          <w:rFonts w:cs="Arial"/>
        </w:rPr>
        <w:t xml:space="preserve"> </w:t>
      </w:r>
      <w:r w:rsidRPr="006178EB">
        <w:rPr>
          <w:rFonts w:cs="Arial"/>
          <w:b/>
          <w:bCs/>
        </w:rPr>
        <w:t>e</w:t>
      </w:r>
      <w:r>
        <w:rPr>
          <w:rFonts w:cs="Arial"/>
        </w:rPr>
        <w:t xml:space="preserve">, </w:t>
      </w:r>
      <w:proofErr w:type="spellStart"/>
      <w:r w:rsidRPr="00570A80">
        <w:rPr>
          <w:rFonts w:cs="Arial"/>
        </w:rPr>
        <w:t>Jurkat</w:t>
      </w:r>
      <w:proofErr w:type="spellEnd"/>
      <w:r w:rsidRPr="00570A80">
        <w:rPr>
          <w:rFonts w:cs="Arial"/>
        </w:rPr>
        <w:t xml:space="preserve"> cells were stimulated with anti-CD3 antibody (OKT3) in the presence of </w:t>
      </w:r>
      <w:proofErr w:type="spellStart"/>
      <w:r w:rsidRPr="00570A80">
        <w:rPr>
          <w:rFonts w:cs="Arial"/>
        </w:rPr>
        <w:t>dasatinib</w:t>
      </w:r>
      <w:proofErr w:type="spellEnd"/>
      <w:r w:rsidRPr="00570A80">
        <w:rPr>
          <w:rFonts w:cs="Arial"/>
        </w:rPr>
        <w:t>, FK-</w:t>
      </w:r>
      <w:proofErr w:type="spellStart"/>
      <w:r w:rsidRPr="00570A80">
        <w:rPr>
          <w:rFonts w:cs="Arial"/>
        </w:rPr>
        <w:t>dasatinib</w:t>
      </w:r>
      <w:proofErr w:type="spellEnd"/>
      <w:r w:rsidRPr="00570A80">
        <w:rPr>
          <w:rFonts w:cs="Arial"/>
        </w:rPr>
        <w:t xml:space="preserve">, and/or </w:t>
      </w:r>
      <w:proofErr w:type="spellStart"/>
      <w:r w:rsidRPr="00570A80">
        <w:rPr>
          <w:rFonts w:cs="Arial"/>
        </w:rPr>
        <w:t>RapaBlock</w:t>
      </w:r>
      <w:proofErr w:type="spellEnd"/>
      <w:r w:rsidRPr="00570A80">
        <w:rPr>
          <w:rFonts w:cs="Arial"/>
        </w:rPr>
        <w:t xml:space="preserve"> and analyzed by immunoblot.</w:t>
      </w:r>
      <w:r>
        <w:rPr>
          <w:rFonts w:cs="Arial"/>
        </w:rPr>
        <w:t xml:space="preserve"> </w:t>
      </w:r>
      <w:r w:rsidRPr="006178EB">
        <w:rPr>
          <w:rFonts w:cs="Arial"/>
          <w:b/>
          <w:bCs/>
        </w:rPr>
        <w:t>f</w:t>
      </w:r>
      <w:r>
        <w:rPr>
          <w:rFonts w:cs="Arial"/>
        </w:rPr>
        <w:t xml:space="preserve">, </w:t>
      </w:r>
      <w:proofErr w:type="spellStart"/>
      <w:r>
        <w:rPr>
          <w:rFonts w:cs="Arial"/>
        </w:rPr>
        <w:t>Jurkat</w:t>
      </w:r>
      <w:proofErr w:type="spellEnd"/>
      <w:r>
        <w:rPr>
          <w:rFonts w:cs="Arial"/>
        </w:rPr>
        <w:t xml:space="preserve"> cells were pulse-treated with </w:t>
      </w:r>
      <w:proofErr w:type="spellStart"/>
      <w:r>
        <w:rPr>
          <w:rFonts w:cs="Arial"/>
        </w:rPr>
        <w:t>Dasatinib</w:t>
      </w:r>
      <w:proofErr w:type="spellEnd"/>
      <w:r>
        <w:rPr>
          <w:rFonts w:cs="Arial"/>
        </w:rPr>
        <w:t xml:space="preserve"> (100 </w:t>
      </w:r>
      <w:proofErr w:type="spellStart"/>
      <w:r>
        <w:rPr>
          <w:rFonts w:cs="Arial"/>
        </w:rPr>
        <w:t>nM</w:t>
      </w:r>
      <w:proofErr w:type="spellEnd"/>
      <w:r>
        <w:rPr>
          <w:rFonts w:cs="Arial"/>
        </w:rPr>
        <w:t>) or FK-</w:t>
      </w:r>
      <w:proofErr w:type="spellStart"/>
      <w:r>
        <w:rPr>
          <w:rFonts w:cs="Arial"/>
        </w:rPr>
        <w:t>Dasatinib</w:t>
      </w:r>
      <w:proofErr w:type="spellEnd"/>
      <w:r>
        <w:rPr>
          <w:rFonts w:cs="Arial"/>
        </w:rPr>
        <w:t xml:space="preserve"> (100 </w:t>
      </w:r>
      <w:proofErr w:type="spellStart"/>
      <w:r>
        <w:rPr>
          <w:rFonts w:cs="Arial"/>
        </w:rPr>
        <w:t>nM</w:t>
      </w:r>
      <w:proofErr w:type="spellEnd"/>
      <w:r>
        <w:rPr>
          <w:rFonts w:cs="Arial"/>
        </w:rPr>
        <w:t xml:space="preserve">) for 1 h, then drugs were washed out and cells were incubated in drug-free media for various amounts of time, stimulated with anti-CD3 antibody (OKT3) for 5 min and analyzed by immunoblot. </w:t>
      </w:r>
      <w:r>
        <w:rPr>
          <w:rFonts w:cs="Arial"/>
          <w:b/>
          <w:bCs/>
        </w:rPr>
        <w:t>g</w:t>
      </w:r>
      <w:r>
        <w:rPr>
          <w:rFonts w:cs="Arial"/>
        </w:rPr>
        <w:t xml:space="preserve">, inhibition of 476 purified kinases by </w:t>
      </w:r>
      <w:proofErr w:type="spellStart"/>
      <w:r>
        <w:rPr>
          <w:rFonts w:cs="Arial"/>
        </w:rPr>
        <w:t>Dasatinib</w:t>
      </w:r>
      <w:proofErr w:type="spellEnd"/>
      <w:r>
        <w:rPr>
          <w:rFonts w:cs="Arial"/>
        </w:rPr>
        <w:t xml:space="preserve"> (10 </w:t>
      </w:r>
      <w:proofErr w:type="spellStart"/>
      <w:r>
        <w:rPr>
          <w:rFonts w:cs="Arial"/>
        </w:rPr>
        <w:t>nM</w:t>
      </w:r>
      <w:proofErr w:type="spellEnd"/>
      <w:r>
        <w:rPr>
          <w:rFonts w:cs="Arial"/>
        </w:rPr>
        <w:t>) or FK-</w:t>
      </w:r>
      <w:proofErr w:type="spellStart"/>
      <w:r>
        <w:rPr>
          <w:rFonts w:cs="Arial"/>
        </w:rPr>
        <w:t>Dasatinib</w:t>
      </w:r>
      <w:proofErr w:type="spellEnd"/>
      <w:r>
        <w:rPr>
          <w:rFonts w:cs="Arial"/>
        </w:rPr>
        <w:t xml:space="preserve"> (10 </w:t>
      </w:r>
      <w:proofErr w:type="spellStart"/>
      <w:r>
        <w:rPr>
          <w:rFonts w:cs="Arial"/>
        </w:rPr>
        <w:t>nM</w:t>
      </w:r>
      <w:proofErr w:type="spellEnd"/>
      <w:r>
        <w:rPr>
          <w:rFonts w:cs="Arial"/>
        </w:rPr>
        <w:t xml:space="preserve">) in the presence of 10 µM recombinant FKBP12 protein. </w:t>
      </w:r>
      <w:r>
        <w:rPr>
          <w:rFonts w:cs="Arial"/>
          <w:b/>
          <w:bCs/>
        </w:rPr>
        <w:t>h</w:t>
      </w:r>
      <w:r>
        <w:rPr>
          <w:rFonts w:cs="Arial"/>
        </w:rPr>
        <w:t xml:space="preserve">, kinase profiling of </w:t>
      </w:r>
      <w:proofErr w:type="spellStart"/>
      <w:r>
        <w:rPr>
          <w:rFonts w:cs="Arial"/>
        </w:rPr>
        <w:t>Dasatinib</w:t>
      </w:r>
      <w:proofErr w:type="spellEnd"/>
      <w:r>
        <w:rPr>
          <w:rFonts w:cs="Arial"/>
        </w:rPr>
        <w:t xml:space="preserve"> (100 </w:t>
      </w:r>
      <w:proofErr w:type="spellStart"/>
      <w:r>
        <w:rPr>
          <w:rFonts w:cs="Arial"/>
        </w:rPr>
        <w:t>nM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Dasatinib</w:t>
      </w:r>
      <w:proofErr w:type="spellEnd"/>
      <w:r>
        <w:rPr>
          <w:rFonts w:cs="Arial"/>
        </w:rPr>
        <w:t>) or FK-</w:t>
      </w:r>
      <w:proofErr w:type="spellStart"/>
      <w:r>
        <w:rPr>
          <w:rFonts w:cs="Arial"/>
        </w:rPr>
        <w:t>Dasatinib</w:t>
      </w:r>
      <w:proofErr w:type="spellEnd"/>
      <w:r>
        <w:rPr>
          <w:rFonts w:cs="Arial"/>
        </w:rPr>
        <w:t xml:space="preserve"> (100 </w:t>
      </w:r>
      <w:proofErr w:type="spellStart"/>
      <w:r>
        <w:rPr>
          <w:rFonts w:cs="Arial"/>
        </w:rPr>
        <w:t>nM</w:t>
      </w:r>
      <w:proofErr w:type="spellEnd"/>
      <w:r>
        <w:rPr>
          <w:rFonts w:cs="Arial"/>
        </w:rPr>
        <w:t xml:space="preserve">) in </w:t>
      </w:r>
      <w:proofErr w:type="spellStart"/>
      <w:r>
        <w:rPr>
          <w:rFonts w:cs="Arial"/>
        </w:rPr>
        <w:t>Jurkat</w:t>
      </w:r>
      <w:proofErr w:type="spellEnd"/>
      <w:r>
        <w:rPr>
          <w:rFonts w:cs="Arial"/>
        </w:rPr>
        <w:t xml:space="preserve"> cells using the covalent occupancy probe XO44. See Supplementary Information for experimental details.</w:t>
      </w:r>
      <w:r>
        <w:rPr>
          <w:rFonts w:cs="Arial"/>
        </w:rPr>
        <w:br w:type="page"/>
      </w:r>
    </w:p>
    <w:p w14:paraId="6F3B63EC" w14:textId="77777777" w:rsidR="00903DC3" w:rsidRDefault="00903DC3" w:rsidP="00903DC3">
      <w:pPr>
        <w:jc w:val="both"/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 wp14:anchorId="4AFCBC3E" wp14:editId="5CCE765B">
            <wp:extent cx="5943600" cy="398526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8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54DE4" w14:textId="77777777" w:rsidR="00903DC3" w:rsidRDefault="00903DC3" w:rsidP="00903DC3">
      <w:pPr>
        <w:jc w:val="both"/>
        <w:rPr>
          <w:rFonts w:cs="Arial"/>
        </w:rPr>
      </w:pPr>
      <w:r>
        <w:rPr>
          <w:rFonts w:cs="Arial"/>
          <w:b/>
          <w:bCs/>
        </w:rPr>
        <w:t xml:space="preserve">Extended Data Figure 6. FK-Lapatinib is a FKBP12-dependent EGFR/HER2 kinase inhibitor. </w:t>
      </w:r>
      <w:r w:rsidRPr="006178EB">
        <w:rPr>
          <w:rFonts w:cs="Arial"/>
          <w:b/>
          <w:bCs/>
        </w:rPr>
        <w:t>a</w:t>
      </w:r>
      <w:r>
        <w:rPr>
          <w:rFonts w:cs="Arial"/>
        </w:rPr>
        <w:t xml:space="preserve">, Chemical structures of Lapatinib and FK-Lapatinib.  </w:t>
      </w:r>
      <w:r>
        <w:rPr>
          <w:rFonts w:cs="Arial"/>
          <w:b/>
          <w:bCs/>
        </w:rPr>
        <w:t>b</w:t>
      </w:r>
      <w:r>
        <w:rPr>
          <w:rFonts w:cs="Arial"/>
        </w:rPr>
        <w:t>, Inhibition of EGFR and HER2</w:t>
      </w:r>
      <w:r w:rsidRPr="00570A80">
        <w:rPr>
          <w:rFonts w:cs="Arial"/>
        </w:rPr>
        <w:t xml:space="preserve"> </w:t>
      </w:r>
      <w:r>
        <w:rPr>
          <w:rFonts w:cs="Arial"/>
        </w:rPr>
        <w:t xml:space="preserve">kinase activity by Lapatinib and FK-Lapatinib </w:t>
      </w:r>
      <w:r w:rsidRPr="00570A80">
        <w:rPr>
          <w:rFonts w:cs="Arial"/>
        </w:rPr>
        <w:t xml:space="preserve">in the absence or presence of supplemented 10 µM recombinant FKBP12 protein. </w:t>
      </w:r>
      <w:r>
        <w:rPr>
          <w:rFonts w:cs="Arial"/>
        </w:rPr>
        <w:t xml:space="preserve"> </w:t>
      </w:r>
      <w:r w:rsidRPr="00570A80">
        <w:rPr>
          <w:rFonts w:cs="Arial"/>
        </w:rPr>
        <w:t xml:space="preserve">Data is the average of two replicates. </w:t>
      </w:r>
      <w:r>
        <w:rPr>
          <w:rFonts w:cs="Arial"/>
          <w:b/>
          <w:bCs/>
        </w:rPr>
        <w:t>c</w:t>
      </w:r>
      <w:r>
        <w:rPr>
          <w:rFonts w:cs="Arial"/>
        </w:rPr>
        <w:t>,</w:t>
      </w:r>
      <w:r w:rsidRPr="00570A80">
        <w:rPr>
          <w:rFonts w:cs="Arial"/>
        </w:rPr>
        <w:t xml:space="preserve"> </w:t>
      </w:r>
      <w:r>
        <w:rPr>
          <w:rFonts w:cs="Arial"/>
        </w:rPr>
        <w:t xml:space="preserve">Inhibition of proliferation of </w:t>
      </w:r>
      <w:r w:rsidRPr="00570A80">
        <w:rPr>
          <w:rFonts w:cs="Arial"/>
        </w:rPr>
        <w:t xml:space="preserve">SK-BR3 cells </w:t>
      </w:r>
      <w:r>
        <w:rPr>
          <w:rFonts w:cs="Arial"/>
        </w:rPr>
        <w:t>by</w:t>
      </w:r>
      <w:r w:rsidRPr="00570A80">
        <w:rPr>
          <w:rFonts w:cs="Arial"/>
        </w:rPr>
        <w:t xml:space="preserve"> lapatinib</w:t>
      </w:r>
      <w:r>
        <w:rPr>
          <w:rFonts w:cs="Arial"/>
        </w:rPr>
        <w:t xml:space="preserve"> and</w:t>
      </w:r>
      <w:r w:rsidRPr="00570A80">
        <w:rPr>
          <w:rFonts w:cs="Arial"/>
        </w:rPr>
        <w:t xml:space="preserve"> FK-lapatinib</w:t>
      </w:r>
      <w:r>
        <w:rPr>
          <w:rFonts w:cs="Arial"/>
        </w:rPr>
        <w:t xml:space="preserve"> in the presence of absence of 10 µM </w:t>
      </w:r>
      <w:proofErr w:type="spellStart"/>
      <w:r>
        <w:rPr>
          <w:rFonts w:cs="Arial"/>
        </w:rPr>
        <w:t>RapaBlock</w:t>
      </w:r>
      <w:proofErr w:type="spellEnd"/>
      <w:r w:rsidRPr="00570A80">
        <w:rPr>
          <w:rFonts w:cs="Arial"/>
        </w:rPr>
        <w:t xml:space="preserve">. </w:t>
      </w:r>
      <w:r>
        <w:rPr>
          <w:rFonts w:cs="Arial"/>
        </w:rPr>
        <w:t xml:space="preserve"> Data is the average of three replicates. </w:t>
      </w:r>
      <w:r>
        <w:rPr>
          <w:rFonts w:cs="Arial"/>
          <w:b/>
          <w:bCs/>
        </w:rPr>
        <w:t>d</w:t>
      </w:r>
      <w:r>
        <w:rPr>
          <w:rFonts w:cs="Arial"/>
        </w:rPr>
        <w:t>,</w:t>
      </w:r>
      <w:r w:rsidRPr="00570A80">
        <w:rPr>
          <w:rFonts w:cs="Arial"/>
        </w:rPr>
        <w:t xml:space="preserve"> SK-BR3 cells were treated with </w:t>
      </w:r>
      <w:r>
        <w:rPr>
          <w:rFonts w:cs="Arial"/>
        </w:rPr>
        <w:t>L</w:t>
      </w:r>
      <w:r w:rsidRPr="00570A80">
        <w:rPr>
          <w:rFonts w:cs="Arial"/>
        </w:rPr>
        <w:t>apatinib, FK-</w:t>
      </w:r>
      <w:r>
        <w:rPr>
          <w:rFonts w:cs="Arial"/>
        </w:rPr>
        <w:t>L</w:t>
      </w:r>
      <w:r w:rsidRPr="00570A80">
        <w:rPr>
          <w:rFonts w:cs="Arial"/>
        </w:rPr>
        <w:t xml:space="preserve">apatinib, and/or </w:t>
      </w:r>
      <w:proofErr w:type="spellStart"/>
      <w:r w:rsidRPr="00570A80">
        <w:rPr>
          <w:rFonts w:cs="Arial"/>
        </w:rPr>
        <w:t>RapaBlock</w:t>
      </w:r>
      <w:proofErr w:type="spellEnd"/>
      <w:r w:rsidRPr="00570A80">
        <w:rPr>
          <w:rFonts w:cs="Arial"/>
        </w:rPr>
        <w:t xml:space="preserve"> for 1 h and analyzed by immunoblot.  </w:t>
      </w:r>
      <w:r>
        <w:rPr>
          <w:rFonts w:cs="Arial"/>
        </w:rPr>
        <w:br w:type="page"/>
      </w:r>
    </w:p>
    <w:p w14:paraId="333A1918" w14:textId="77777777" w:rsidR="00903DC3" w:rsidRPr="001E68CD" w:rsidRDefault="00903DC3" w:rsidP="00903DC3">
      <w:pPr>
        <w:jc w:val="both"/>
        <w:rPr>
          <w:rFonts w:cs="Arial"/>
          <w:b/>
          <w:bCs/>
        </w:rPr>
      </w:pPr>
      <w:r>
        <w:rPr>
          <w:rFonts w:cs="Arial"/>
          <w:b/>
          <w:bCs/>
          <w:noProof/>
        </w:rPr>
        <w:lastRenderedPageBreak/>
        <w:drawing>
          <wp:inline distT="0" distB="0" distL="0" distR="0" wp14:anchorId="779F671C" wp14:editId="39438626">
            <wp:extent cx="5943600" cy="180911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0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16B75" w14:textId="77777777" w:rsidR="00903DC3" w:rsidRDefault="00903DC3" w:rsidP="00903DC3">
      <w:pPr>
        <w:jc w:val="both"/>
        <w:rPr>
          <w:rFonts w:cs="Arial"/>
        </w:rPr>
      </w:pPr>
      <w:r>
        <w:rPr>
          <w:rFonts w:cs="Arial"/>
          <w:b/>
          <w:bCs/>
        </w:rPr>
        <w:t>Extended Data Figure 7. FK-</w:t>
      </w:r>
      <w:proofErr w:type="spellStart"/>
      <w:r>
        <w:rPr>
          <w:rFonts w:cs="Arial"/>
          <w:b/>
          <w:bCs/>
        </w:rPr>
        <w:t>Prostetin</w:t>
      </w:r>
      <w:proofErr w:type="spellEnd"/>
      <w:r>
        <w:rPr>
          <w:rFonts w:cs="Arial"/>
          <w:b/>
          <w:bCs/>
        </w:rPr>
        <w:t xml:space="preserve"> is a FKBP12-dependent MAP4K4(HGK) kinase inhibitor. a</w:t>
      </w:r>
      <w:r>
        <w:rPr>
          <w:rFonts w:cs="Arial"/>
        </w:rPr>
        <w:t xml:space="preserve">, Chemical structures of </w:t>
      </w:r>
      <w:proofErr w:type="spellStart"/>
      <w:r>
        <w:rPr>
          <w:rFonts w:cs="Arial"/>
        </w:rPr>
        <w:t>Prostetin</w:t>
      </w:r>
      <w:proofErr w:type="spellEnd"/>
      <w:r>
        <w:rPr>
          <w:rFonts w:cs="Arial"/>
        </w:rPr>
        <w:t xml:space="preserve"> and FK-</w:t>
      </w:r>
      <w:proofErr w:type="spellStart"/>
      <w:r>
        <w:rPr>
          <w:rFonts w:cs="Arial"/>
        </w:rPr>
        <w:t>Prostetin</w:t>
      </w:r>
      <w:proofErr w:type="spellEnd"/>
      <w:r>
        <w:rPr>
          <w:rFonts w:cs="Arial"/>
        </w:rPr>
        <w:t xml:space="preserve">.  </w:t>
      </w:r>
      <w:r>
        <w:rPr>
          <w:rFonts w:cs="Arial"/>
          <w:b/>
          <w:bCs/>
        </w:rPr>
        <w:t>b</w:t>
      </w:r>
      <w:r>
        <w:rPr>
          <w:rFonts w:cs="Arial"/>
        </w:rPr>
        <w:t xml:space="preserve">, Inhibition of MAP4K4(HGK) kinase activity by Lapatinib and FK-Lapatinib </w:t>
      </w:r>
      <w:r w:rsidRPr="00570A80">
        <w:rPr>
          <w:rFonts w:cs="Arial"/>
        </w:rPr>
        <w:t xml:space="preserve">in the absence or presence of supplemented 10 µM recombinant FKBP12 protein. </w:t>
      </w:r>
      <w:r>
        <w:rPr>
          <w:rFonts w:cs="Arial"/>
        </w:rPr>
        <w:t xml:space="preserve"> </w:t>
      </w:r>
      <w:r w:rsidRPr="00570A80">
        <w:rPr>
          <w:rFonts w:cs="Arial"/>
        </w:rPr>
        <w:t>Data is the average of two replicates.</w:t>
      </w:r>
      <w:r>
        <w:rPr>
          <w:rFonts w:cs="Arial"/>
        </w:rPr>
        <w:br w:type="page"/>
      </w:r>
    </w:p>
    <w:p w14:paraId="20E45B1F" w14:textId="77777777" w:rsidR="00903DC3" w:rsidRPr="00570A80" w:rsidRDefault="00903DC3" w:rsidP="00903DC3">
      <w:pPr>
        <w:jc w:val="both"/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 wp14:anchorId="6E7E25B6" wp14:editId="7879A303">
            <wp:extent cx="5943600" cy="152336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2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87226" w14:textId="77777777" w:rsidR="00903DC3" w:rsidRPr="002E443E" w:rsidRDefault="00903DC3" w:rsidP="00903DC3">
      <w:pPr>
        <w:jc w:val="both"/>
      </w:pPr>
      <w:r>
        <w:rPr>
          <w:rFonts w:cs="Arial"/>
          <w:b/>
          <w:bCs/>
        </w:rPr>
        <w:t xml:space="preserve">Extended Data Figure 8. Exemplary bioluminescence images of mice bearing intracranial glioblastoma xenografts. </w:t>
      </w:r>
      <w:r w:rsidRPr="00B859C9">
        <w:rPr>
          <w:rFonts w:ascii="Calibri" w:hAnsi="Calibri" w:cs="Calibri"/>
          <w:b/>
          <w:bCs/>
        </w:rPr>
        <w:t>﻿</w:t>
      </w:r>
      <w:r w:rsidRPr="00BD6D1F">
        <w:rPr>
          <w:rFonts w:cs="Arial"/>
        </w:rPr>
        <w:t>U87MG cells expressing firefly luciferase were injected intracranially into BALB/</w:t>
      </w:r>
      <w:proofErr w:type="spellStart"/>
      <w:r w:rsidRPr="00BD6D1F">
        <w:rPr>
          <w:rFonts w:cs="Arial"/>
        </w:rPr>
        <w:t>c</w:t>
      </w:r>
      <w:r w:rsidRPr="00BD6D1F">
        <w:rPr>
          <w:rFonts w:cs="Arial"/>
          <w:vertAlign w:val="superscript"/>
        </w:rPr>
        <w:t>nu</w:t>
      </w:r>
      <w:proofErr w:type="spellEnd"/>
      <w:r w:rsidRPr="00BD6D1F">
        <w:rPr>
          <w:rFonts w:cs="Arial"/>
          <w:vertAlign w:val="superscript"/>
        </w:rPr>
        <w:t>/nu</w:t>
      </w:r>
      <w:r w:rsidRPr="00BD6D1F">
        <w:rPr>
          <w:rFonts w:cs="Arial"/>
        </w:rPr>
        <w:t xml:space="preserve"> mice. After tumor establishment, mice were sorted into four groups and treated by </w:t>
      </w:r>
      <w:proofErr w:type="spellStart"/>
      <w:r w:rsidRPr="00BD6D1F">
        <w:rPr>
          <w:rFonts w:cs="Arial"/>
        </w:rPr>
        <w:t>i.p.</w:t>
      </w:r>
      <w:proofErr w:type="spellEnd"/>
      <w:r w:rsidRPr="00BD6D1F">
        <w:rPr>
          <w:rFonts w:cs="Arial"/>
        </w:rPr>
        <w:t xml:space="preserve"> injections </w:t>
      </w:r>
      <w:r>
        <w:rPr>
          <w:rFonts w:cs="Arial"/>
        </w:rPr>
        <w:t xml:space="preserve">every 5 days </w:t>
      </w:r>
      <w:r w:rsidRPr="00BD6D1F">
        <w:rPr>
          <w:rFonts w:cs="Arial"/>
        </w:rPr>
        <w:t xml:space="preserve">of vehicle, </w:t>
      </w:r>
      <w:proofErr w:type="spellStart"/>
      <w:r>
        <w:rPr>
          <w:rFonts w:cs="Arial"/>
        </w:rPr>
        <w:t>RapaBlock</w:t>
      </w:r>
      <w:proofErr w:type="spellEnd"/>
      <w:r w:rsidRPr="00BD6D1F">
        <w:rPr>
          <w:rFonts w:cs="Arial"/>
        </w:rPr>
        <w:t xml:space="preserve"> (1 mg/kg), </w:t>
      </w:r>
      <w:proofErr w:type="spellStart"/>
      <w:r>
        <w:rPr>
          <w:rFonts w:cs="Arial"/>
        </w:rPr>
        <w:t>RapaBlock</w:t>
      </w:r>
      <w:proofErr w:type="spellEnd"/>
      <w:r w:rsidRPr="00BD6D1F">
        <w:rPr>
          <w:rFonts w:cs="Arial"/>
        </w:rPr>
        <w:t xml:space="preserve"> (</w:t>
      </w:r>
      <w:r>
        <w:rPr>
          <w:rFonts w:cs="Arial"/>
        </w:rPr>
        <w:t>40</w:t>
      </w:r>
      <w:r w:rsidRPr="00BD6D1F">
        <w:rPr>
          <w:rFonts w:cs="Arial"/>
        </w:rPr>
        <w:t xml:space="preserve"> mg/kg), or </w:t>
      </w:r>
      <w:r>
        <w:rPr>
          <w:rFonts w:cs="Arial"/>
        </w:rPr>
        <w:t xml:space="preserve">a combination of RapaLink-1 and </w:t>
      </w:r>
      <w:proofErr w:type="spellStart"/>
      <w:r>
        <w:rPr>
          <w:rFonts w:cs="Arial"/>
        </w:rPr>
        <w:t>RapaBlock</w:t>
      </w:r>
      <w:proofErr w:type="spellEnd"/>
      <w:r>
        <w:rPr>
          <w:rFonts w:cs="Arial"/>
        </w:rPr>
        <w:t xml:space="preserve"> (1 mg/kg and 40 mg/kg, respectively). </w:t>
      </w:r>
      <w:r w:rsidRPr="00BD6D1F">
        <w:rPr>
          <w:rFonts w:cs="Arial"/>
        </w:rPr>
        <w:t>Bioluminescence imaging of tumor-bearing mice was obtained at days shown (day 0 was start of treatment), using identical imaging conditions.</w:t>
      </w:r>
    </w:p>
    <w:p w14:paraId="35298E0B" w14:textId="77777777" w:rsidR="00222823" w:rsidRDefault="00222823"/>
    <w:sectPr w:rsidR="00222823" w:rsidSect="00903DC3">
      <w:footerReference w:type="even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18597931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D6F9981" w14:textId="77777777" w:rsidR="006178EB" w:rsidRDefault="00903DC3" w:rsidP="00520DA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D60EDF6" w14:textId="77777777" w:rsidR="006178EB" w:rsidRDefault="00903DC3" w:rsidP="006178E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5621654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1BA437C" w14:textId="77777777" w:rsidR="006178EB" w:rsidRDefault="00903DC3" w:rsidP="00520DA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01BBAA3E" w14:textId="77777777" w:rsidR="006178EB" w:rsidRDefault="00903DC3" w:rsidP="006178EB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DC3"/>
    <w:rsid w:val="00222823"/>
    <w:rsid w:val="00242694"/>
    <w:rsid w:val="00903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50C2C"/>
  <w15:chartTrackingRefBased/>
  <w15:docId w15:val="{5872F3BF-73CB-467D-82BD-06A2A4FDB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3DC3"/>
    <w:pPr>
      <w:spacing w:after="0" w:line="360" w:lineRule="auto"/>
    </w:pPr>
    <w:rPr>
      <w:rFonts w:ascii="Arial" w:eastAsiaTheme="minorEastAsia" w:hAnsi="Arial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03DC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3DC3"/>
    <w:rPr>
      <w:rFonts w:ascii="Arial" w:eastAsiaTheme="minorEastAsia" w:hAnsi="Arial"/>
      <w:sz w:val="24"/>
      <w:szCs w:val="24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903DC3"/>
  </w:style>
  <w:style w:type="character" w:styleId="LineNumber">
    <w:name w:val="line number"/>
    <w:basedOn w:val="DefaultParagraphFont"/>
    <w:uiPriority w:val="99"/>
    <w:semiHidden/>
    <w:unhideWhenUsed/>
    <w:rsid w:val="00903D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635</Words>
  <Characters>3625</Characters>
  <Application>Microsoft Office Word</Application>
  <DocSecurity>0</DocSecurity>
  <Lines>30</Lines>
  <Paragraphs>8</Paragraphs>
  <ScaleCrop>false</ScaleCrop>
  <Company/>
  <LinksUpToDate>false</LinksUpToDate>
  <CharactersWithSpaces>4252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2020-11-20T01:22:00Z</dcterms:created>
  <dcterms:modified xsi:type="dcterms:W3CDTF">2020-11-20T01:23:00Z</dcterms:modified>
</cp:coreProperties>
</file>