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74A" w:rsidRDefault="00B0274A" w:rsidP="00B0274A">
      <w:pPr>
        <w:spacing w:line="480" w:lineRule="auto"/>
        <w:rPr>
          <w:rFonts w:cstheme="minorHAnsi"/>
          <w:sz w:val="16"/>
        </w:rPr>
      </w:pPr>
      <w:r w:rsidRPr="00821861">
        <w:rPr>
          <w:rFonts w:cstheme="minorHAnsi"/>
          <w:b/>
        </w:rPr>
        <w:t>S</w:t>
      </w:r>
      <w:r>
        <w:rPr>
          <w:rFonts w:cstheme="minorHAnsi"/>
          <w:b/>
        </w:rPr>
        <w:t>UPPLEMENTAL TABLES AND FIGURES</w:t>
      </w:r>
    </w:p>
    <w:p w:rsidR="00B0274A" w:rsidRDefault="00B0274A" w:rsidP="00B0274A">
      <w:pPr>
        <w:jc w:val="both"/>
        <w:rPr>
          <w:rFonts w:eastAsia="Times New Roman" w:cstheme="minorHAnsi"/>
          <w:color w:val="000000"/>
          <w:sz w:val="16"/>
          <w:szCs w:val="16"/>
        </w:rPr>
      </w:pPr>
      <w:r w:rsidRPr="00795EBF">
        <w:rPr>
          <w:rFonts w:eastAsia="Times New Roman" w:cstheme="minorHAnsi"/>
          <w:color w:val="000000"/>
          <w:sz w:val="16"/>
          <w:szCs w:val="16"/>
        </w:rPr>
        <w:t>Supplemental Table S1. Tobacco smoke constituents-Classification of urinary biomarkers of exposure</w:t>
      </w:r>
    </w:p>
    <w:tbl>
      <w:tblPr>
        <w:tblStyle w:val="TableGrid"/>
        <w:tblW w:w="12973" w:type="dxa"/>
        <w:tblLook w:val="0420" w:firstRow="1" w:lastRow="0" w:firstColumn="0" w:lastColumn="0" w:noHBand="0" w:noVBand="1"/>
      </w:tblPr>
      <w:tblGrid>
        <w:gridCol w:w="4045"/>
        <w:gridCol w:w="6912"/>
        <w:gridCol w:w="2016"/>
      </w:tblGrid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Tobacco Smoke Constituents​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Urinary Biomarker ​of Exposure​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</w:rPr>
              <w:t>FDA ​Classification​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1,3-Butadiene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MHB3 (N-Acetyl-S-(4-hydroxy-2-methyl-2-buten-1-yl)-L-cysteine)​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CA, RT, RDT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Acrolein​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3HPMA (N-Acetyl-S-(3-hydroxypropyl)-L-cysteine)​</w:t>
            </w:r>
          </w:p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CEMA (N-Acetyl-S-(2-carboxyethyl)-L-cysteine)​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RT, CT​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Acrylamide​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AAMA (N-Acetyl-S-(2-carbamoylethyl)-L-cysteine)​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Acrylonitrile​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CYMA (N-Acetyl-S-(2cyanoethyl)-L-cysteine)​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CA, RT​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Crotonaldehyde​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HPMM (N-Acetyl-S-(3-hydroxypropyl-1-methyl)-L-cysteine)​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Isoprene​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IPM3 (N-Acetyl-S-(4-hydroxy-2-methyl-2-buten-1-yl)-L-cysteine)​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​CA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Metals​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Cadmium, Lead​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CA, CT, RDT​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Nicotine-derived nitrosamine ketone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NNAL​ (4-(methylnitrosamino)-1-(3-pyridyl)-1-butanol)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N’-Nitrosonornicotine​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NNN​ (N'-Nitrosonornicotine)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Nicotine​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TNE-7 (Total Nicotine Equivalents–7)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AD, RDT 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Polycyclic Aromatic Hydrocarbons​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2-Hydroxyfluorene, 3-Hydroxyfluorene, 1-Hydroxypyrene​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CA, CT​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Propylene Oxide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2HPMA (2-Hydroxypropylmercapturic acid)​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CA, RT</w:t>
            </w:r>
          </w:p>
        </w:tc>
      </w:tr>
      <w:tr w:rsidR="00B0274A" w:rsidRPr="008B7A29" w:rsidTr="00301669">
        <w:trPr>
          <w:trHeight w:val="432"/>
        </w:trPr>
        <w:tc>
          <w:tcPr>
            <w:tcW w:w="4045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Styrene​</w:t>
            </w:r>
          </w:p>
        </w:tc>
        <w:tc>
          <w:tcPr>
            <w:tcW w:w="6912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MADA (Mandelic acid), PHGA (Phenylglyoxylicacid)​</w:t>
            </w:r>
          </w:p>
        </w:tc>
        <w:tc>
          <w:tcPr>
            <w:tcW w:w="2016" w:type="dxa"/>
            <w:vAlign w:val="center"/>
            <w:hideMark/>
          </w:tcPr>
          <w:p w:rsidR="00B0274A" w:rsidRPr="00795EBF" w:rsidRDefault="00B0274A" w:rsidP="00301669">
            <w:pPr>
              <w:spacing w:line="259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</w:rPr>
            </w:pPr>
            <w:r w:rsidRPr="00795EBF">
              <w:rPr>
                <w:rFonts w:eastAsia="Times New Roman" w:cstheme="minorHAnsi"/>
                <w:bCs/>
                <w:color w:val="000000"/>
                <w:sz w:val="16"/>
                <w:szCs w:val="16"/>
              </w:rPr>
              <w:t>CA​</w:t>
            </w:r>
          </w:p>
        </w:tc>
      </w:tr>
    </w:tbl>
    <w:p w:rsidR="00B0274A" w:rsidRDefault="00B0274A" w:rsidP="00B0274A">
      <w:pPr>
        <w:rPr>
          <w:rFonts w:eastAsia="Times New Roman" w:cstheme="minorHAnsi"/>
          <w:color w:val="000000"/>
          <w:sz w:val="16"/>
          <w:szCs w:val="16"/>
        </w:rPr>
      </w:pPr>
      <w:r w:rsidRPr="00A34057">
        <w:rPr>
          <w:rFonts w:eastAsia="Times New Roman" w:cstheme="minorHAnsi"/>
          <w:color w:val="000000"/>
          <w:sz w:val="16"/>
          <w:szCs w:val="16"/>
        </w:rPr>
        <w:t>FDA Classification: Carcinogen (CA), Respiratory Toxicant (RT), Cardiovascular Toxicant (CT), Reproductive or Developmental Toxicant (RDT), Addictive (AD).</w:t>
      </w:r>
    </w:p>
    <w:p w:rsidR="00B0274A" w:rsidRDefault="00B0274A" w:rsidP="00B0274A">
      <w:pPr>
        <w:rPr>
          <w:rFonts w:eastAsia="Times New Roman" w:cstheme="minorHAnsi"/>
          <w:color w:val="000000"/>
          <w:sz w:val="16"/>
          <w:szCs w:val="16"/>
        </w:rPr>
      </w:pPr>
      <w:r>
        <w:rPr>
          <w:rFonts w:eastAsia="Times New Roman" w:cstheme="minorHAnsi"/>
          <w:color w:val="000000"/>
          <w:sz w:val="16"/>
          <w:szCs w:val="16"/>
        </w:rPr>
        <w:br w:type="page"/>
      </w:r>
    </w:p>
    <w:p w:rsidR="00B0274A" w:rsidRPr="0087369B" w:rsidRDefault="00B0274A" w:rsidP="00B0274A">
      <w:pPr>
        <w:jc w:val="both"/>
        <w:rPr>
          <w:rFonts w:cstheme="minorHAnsi"/>
          <w:b/>
          <w:sz w:val="16"/>
        </w:rPr>
      </w:pPr>
      <w:r w:rsidRPr="0087369B">
        <w:rPr>
          <w:rFonts w:cstheme="minorHAnsi"/>
          <w:sz w:val="16"/>
        </w:rPr>
        <w:lastRenderedPageBreak/>
        <w:t xml:space="preserve">Supplemental Table S2. Adjusted geometric means and 95% CI for </w:t>
      </w:r>
      <w:r>
        <w:rPr>
          <w:rFonts w:cstheme="minorHAnsi"/>
          <w:sz w:val="16"/>
        </w:rPr>
        <w:t xml:space="preserve">urinary </w:t>
      </w:r>
      <w:r w:rsidRPr="0087369B">
        <w:rPr>
          <w:rFonts w:cstheme="minorHAnsi"/>
          <w:sz w:val="16"/>
        </w:rPr>
        <w:t>B</w:t>
      </w:r>
      <w:r>
        <w:rPr>
          <w:rFonts w:cstheme="minorHAnsi"/>
          <w:sz w:val="16"/>
        </w:rPr>
        <w:t>O</w:t>
      </w:r>
      <w:r w:rsidRPr="0087369B">
        <w:rPr>
          <w:rFonts w:cstheme="minorHAnsi"/>
          <w:sz w:val="16"/>
        </w:rPr>
        <w:t>E</w:t>
      </w:r>
      <w:r>
        <w:rPr>
          <w:rFonts w:cstheme="minorHAnsi"/>
          <w:sz w:val="16"/>
        </w:rPr>
        <w:t>s</w:t>
      </w:r>
      <w:r w:rsidRPr="0087369B">
        <w:rPr>
          <w:rFonts w:cstheme="minorHAnsi"/>
          <w:sz w:val="16"/>
        </w:rPr>
        <w:t xml:space="preserve"> by tobacco product use status, PATH Study (2013-2014).</w:t>
      </w:r>
    </w:p>
    <w:tbl>
      <w:tblPr>
        <w:tblW w:w="12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</w:tblGrid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624" w:type="dxa"/>
            <w:gridSpan w:val="8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 cigarette and e-vapor user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Exclusive daily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cigarette smoker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Frequent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duals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Smokers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who vape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Vapers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who smoke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Infrequent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duals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Exclusive daily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e-vapor user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Never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tobacco user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sz w:val="12"/>
                <w:szCs w:val="12"/>
              </w:rPr>
              <w:t>Biomarker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TNE-7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2411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10.66 (9.96, 11.42)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10.98 (8.99, 13.41)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11.22 (10.27, 12.26)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8.72 (6.42, 11.85)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2.43 (1.55, 3.8)†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5.68 (4.53, 7.11)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91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0.35 (0.15, 0.78)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NNAL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2437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261.32 (240.16, 284.34)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270.27 (215.87, 338.4)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298.52 (265.44, 335.72)†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59.95 (35.35, 101.66)†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25.12 (14.44, 43.69)†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&amp;$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6.5 (5.16, 8.21)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1697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0.96 (0.86, 1.08)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NNN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2316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14.79 (13.78, 15.88)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12.74 (9.48, 17.11)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12.77 (11.46, 14.23)†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6.38 (4.85, 8.41)†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4.15 (3.18, 5.41)†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&amp;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163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4.71 (3.95, 5.6)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1692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1.98 (1.87, 2.09)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Cadmium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2432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0.31 (0.3, 0.33)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0.33 (0.29, 0.37)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0.31 (0.28, 0.33)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0.29 (0.19, 0.44)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0.16 (0.13, 0.19)†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&amp;$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0.28 (0.25, 0.3)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0.15 (0.14, 0.16)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Lead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2432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0.5 (0.48, 0.52)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0.57 (0.49, 0.67)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0.51 (0.48, 0.54)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0.5 (0.41, 0.6)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0.45 (0.39, 0.52)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0.54 (0.47, 0.62)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0.35 (0.33, 0.37)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2-FLU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2440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1184.93 (1138.89, 1232.83)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1111.06 (975.67, 1265.24)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1264.39 (1179.32, 1355.61)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560.01 (391.65, 800.74)†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415.06 (318.26, 541.31)†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212.93 (183.59, 246.97)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1700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168.93 (159.51, 178.9)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3-FLU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2440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685.18 (655.48, 716.22)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614.03 (518.81, 726.73)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715.85 (664.43, 771.24)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312.48 (214.28, 455.69)†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191.95 (140.8, 261.68)†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80.11 (68.36, 93.88)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1700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65.08 (61.27, 69.13)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1-PYR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2440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331.76 (315.89, 348.43)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319.79 (284.51, 359.44)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678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371.9 (345.36, 400.47)†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220.33 (181.19, 267.94)†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207.51 (174.53, 246.73)†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164.24 (141.91, 190.09)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1700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129.84 (122.06, 138.11)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AAMA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2334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148.72 (143.12, 154.53)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137.15 (123.16, 152.73)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146.92 (139.52, 154.71)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92.27 (74.91, 113.66)†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84.53 (70.72, 101.03)†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58.65 (51.18, 67.21)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1605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48.57 (46.17, 51.1)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CEMA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2207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308.54 (292.23, 325.76)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274.96 (238.85, 316.54)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637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330.37 (308.83, 353.42)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179.85 (138.07, 234.27)†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156.49 (132.32, 185.08)†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117.93 (102.63, 135.51)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99.76 (95.35, 104.37)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CYMA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175 (163.89, 186.88)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139.06 (115.1, 168.01)†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176.58 (161.58, 192.97)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38.3 (24.41, 60.09)†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18.37 (10.79, 31.26)†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4.84 (3.6, 6.49)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1.33 (1.24, 1.43)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2HPMA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2335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83.82 (78.83, 89.12)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81.83 (68.67, 97.51)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92.44 (85.2, 100.31)†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55.23 (40.76, 74.85)†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47.51 (37.6, 60.04)†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37.59 (31.9, 44.29)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1562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33.29 (30.82, 35.97)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3HPMA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2322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1353.71 (1268, 1445.22)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1223.92 (1058.14, 1415.68)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1469.54 (1365.16, 1581.89)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565.77 (432.14, 740.72)†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493.99 (409.01, 596.62)†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351.71 (301.86, 409.79)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275.23 (259.89, 291.47)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HPMM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2873.14 (2705.3, 3051.4)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2386.61 (2079.62, 2738.93)†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3053.61 (2844.82, 3277.72)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975.48 (762.9, 1247.3)†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865.79 (618.57, 1211.82)†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436.54 (368.56, 517.07)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465.12 (440.73, 490.85)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IPM3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2355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43 (40.26, 45.94)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36.83 (30.53, 44.42)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46.08 (42.58, 49.86)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9.62 (6.97, 13.28)†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11.29 (7.64, 16.67)†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3.71 (3.1, 4.43)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1596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3.47 (3.23, 3.73)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MADA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2145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304.98 (294.66, 315.65)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285.28 (254.95, 319.22)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641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297.93 (281.48, 315.35)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186.13 (151.98, 227.96)†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193.09 (160.59, 232.17)†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129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149.25 (121.99, 182.6)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133.91 (128.32, 139.74)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MHB3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2357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33.36 (31.61, 35.21)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27.65 (23.73, 32.22)†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663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36.23 (33.88, 38.73)†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11.42 (8.92, 14.62)†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10.66 (7.72, 14.7)†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142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4.36 (3.87, 4.9)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1613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4.62 (4.41, 4.83)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PHGA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2228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402.65 (389.08, 416.69)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383.57 (352.8, 417.03)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637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423.98 (404.04, 444.91)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52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306.31 (270.21, 347.24)†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255.27 (226.12, 288.19)†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&amp;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130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225.88 (188.26, 271.01)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1509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206.67 (199.45, 214.16)</w:t>
            </w:r>
          </w:p>
        </w:tc>
      </w:tr>
    </w:tbl>
    <w:p w:rsidR="00B0274A" w:rsidRPr="00F30952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  <w:r w:rsidRPr="00F30952">
        <w:rPr>
          <w:rFonts w:cstheme="minorHAnsi"/>
          <w:sz w:val="16"/>
          <w:szCs w:val="16"/>
        </w:rPr>
        <w:t xml:space="preserve">Note: </w:t>
      </w:r>
      <w:r w:rsidRPr="00F30952">
        <w:rPr>
          <w:rFonts w:eastAsia="Times New Roman" w:cstheme="minorHAnsi"/>
          <w:color w:val="000000"/>
          <w:sz w:val="16"/>
          <w:szCs w:val="16"/>
        </w:rPr>
        <w:t>† - vs. exclusive daily cigarette smokers; * - Smokers who vape vs. Frequent dual; % - Vapers who smoke vs. Smokers who vape; &amp; - Infrequent duals vs. Vapers who smoke; $ - vs. exclusive daily e-vapor user.</w:t>
      </w:r>
    </w:p>
    <w:p w:rsidR="00B0274A" w:rsidRPr="00F30952" w:rsidRDefault="00B0274A" w:rsidP="00B0274A">
      <w:pPr>
        <w:jc w:val="both"/>
        <w:rPr>
          <w:rFonts w:eastAsia="Times New Roman" w:cstheme="minorHAnsi"/>
          <w:color w:val="000000"/>
          <w:sz w:val="16"/>
          <w:szCs w:val="16"/>
        </w:rPr>
      </w:pPr>
      <w:r w:rsidRPr="00F30952">
        <w:rPr>
          <w:rFonts w:eastAsia="Times New Roman" w:cstheme="minorHAnsi"/>
          <w:color w:val="000000"/>
          <w:sz w:val="16"/>
          <w:szCs w:val="16"/>
        </w:rPr>
        <w:t># - more than 40% of values were below LOD.</w:t>
      </w:r>
    </w:p>
    <w:p w:rsidR="00B0274A" w:rsidRPr="00F30952" w:rsidRDefault="00B0274A" w:rsidP="00B0274A">
      <w:pPr>
        <w:jc w:val="both"/>
        <w:rPr>
          <w:rFonts w:eastAsia="Times New Roman" w:cstheme="minorHAnsi"/>
          <w:color w:val="000000"/>
          <w:sz w:val="16"/>
          <w:szCs w:val="16"/>
        </w:rPr>
      </w:pPr>
      <w:r w:rsidRPr="00F30952">
        <w:rPr>
          <w:rFonts w:eastAsia="Times New Roman" w:cstheme="minorHAnsi"/>
          <w:color w:val="000000"/>
          <w:sz w:val="16"/>
          <w:szCs w:val="16"/>
        </w:rPr>
        <w:t>Abbreviations: CI - confidence interval; TNE-7: Total Nicotine Equivalents -7; NNAL: 4-(methylnitrosamino)-1-(3-pyridyl)-1-butanol; NNN: N'-Nitrosonornicotine; 2-FLU: 2-hydroxyfluorene; 3-FLU: 3-hydroxyfluorene; 1-PYR: 1-hydroxypyrene; AAMA: N-Acetyl-S-(2-carbamoylethyl)-L-cysteine; CEMA: N-Acetyl-S-(2-carboxyethyl)-L-cysteine; CYMA: N-Acetyl-S-(2-cyanoethyl)-L-cysteine; 2HPMA: N-Acetyl-S-(2-hydroxypropyl)-L-cysteine; 3HPMA: N-Acetyl-S-(3-hydroxypropyl)-L-cysteine; HPMM: N-Acetyl-S-(3-hydroxypropyl-1-methyl)-L-cysteine; IPM3: N-Acetyl-S-(4-hydroxy-2-methyl-2-buten-1-yl)-L-cysteine; MADA - Mandelic acid; MHB3: N-Acetyl-S-(4-hydroxy-2-buten-1-yl)-L-cysteine; PHGA - Phenylglyoxylic acid</w:t>
      </w:r>
    </w:p>
    <w:p w:rsidR="00B0274A" w:rsidRPr="008B3E64" w:rsidRDefault="00B0274A" w:rsidP="00B0274A">
      <w:pPr>
        <w:rPr>
          <w:rFonts w:eastAsia="Times New Roman" w:cstheme="minorHAnsi"/>
          <w:color w:val="000000"/>
          <w:sz w:val="12"/>
          <w:szCs w:val="12"/>
        </w:rPr>
      </w:pPr>
      <w:r w:rsidRPr="008B3E64">
        <w:rPr>
          <w:rFonts w:eastAsia="Times New Roman" w:cstheme="minorHAnsi"/>
          <w:color w:val="000000"/>
          <w:sz w:val="12"/>
          <w:szCs w:val="12"/>
        </w:rPr>
        <w:br w:type="page"/>
      </w:r>
    </w:p>
    <w:p w:rsidR="00B0274A" w:rsidRPr="00821861" w:rsidRDefault="00B0274A" w:rsidP="00B0274A">
      <w:pPr>
        <w:jc w:val="both"/>
        <w:rPr>
          <w:rFonts w:cstheme="minorHAnsi"/>
          <w:b/>
          <w:sz w:val="16"/>
        </w:rPr>
      </w:pPr>
      <w:r w:rsidRPr="00864C9A">
        <w:rPr>
          <w:rFonts w:cstheme="minorHAnsi"/>
          <w:sz w:val="16"/>
        </w:rPr>
        <w:lastRenderedPageBreak/>
        <w:t xml:space="preserve">Supplemental </w:t>
      </w:r>
      <w:r w:rsidRPr="006122C1">
        <w:rPr>
          <w:rFonts w:cstheme="minorHAnsi"/>
          <w:sz w:val="16"/>
        </w:rPr>
        <w:t>Table S</w:t>
      </w:r>
      <w:r w:rsidRPr="008806E2">
        <w:rPr>
          <w:rFonts w:cstheme="minorHAnsi"/>
          <w:sz w:val="16"/>
        </w:rPr>
        <w:t>3. Adjusted geometric means and 95% Cl</w:t>
      </w:r>
      <w:r w:rsidRPr="00821861">
        <w:rPr>
          <w:rFonts w:cstheme="minorHAnsi"/>
          <w:sz w:val="16"/>
        </w:rPr>
        <w:t xml:space="preserve"> for B</w:t>
      </w:r>
      <w:r>
        <w:rPr>
          <w:rFonts w:cstheme="minorHAnsi"/>
          <w:sz w:val="16"/>
        </w:rPr>
        <w:t>O</w:t>
      </w:r>
      <w:r w:rsidRPr="00821861">
        <w:rPr>
          <w:rFonts w:cstheme="minorHAnsi"/>
          <w:sz w:val="16"/>
        </w:rPr>
        <w:t>PHs by tobacco product use status, PATH Study (2013-2014).</w:t>
      </w:r>
    </w:p>
    <w:tbl>
      <w:tblPr>
        <w:tblW w:w="12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  <w:gridCol w:w="504"/>
        <w:gridCol w:w="1152"/>
      </w:tblGrid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6624" w:type="dxa"/>
            <w:gridSpan w:val="8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 cigarette and e-vapor user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2"/>
                <w:szCs w:val="12"/>
              </w:rPr>
            </w:pP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Exclusive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cigarette smoker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Frequent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duals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Smokers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who vape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Vapers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who smoke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Infrequent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duals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Exclusive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e-vapor user</w:t>
            </w:r>
          </w:p>
        </w:tc>
        <w:tc>
          <w:tcPr>
            <w:tcW w:w="1656" w:type="dxa"/>
            <w:gridSpan w:val="2"/>
            <w:vAlign w:val="bottom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 xml:space="preserve">Never </w:t>
            </w:r>
          </w:p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tobacco user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sz w:val="12"/>
                <w:szCs w:val="12"/>
              </w:rPr>
              <w:t>Biomarker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i/>
                <w:color w:val="000000"/>
                <w:sz w:val="12"/>
                <w:szCs w:val="12"/>
              </w:rPr>
              <w:t>n</w:t>
            </w:r>
          </w:p>
        </w:tc>
        <w:tc>
          <w:tcPr>
            <w:tcW w:w="1152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b/>
                <w:bCs/>
                <w:color w:val="000000"/>
                <w:sz w:val="12"/>
                <w:szCs w:val="12"/>
              </w:rPr>
              <w:t>GM (95% CI)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hs-CRP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1608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1.91 (1.71, 2.13)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1.92 (1.52, 2.41)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439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2.11 (1.79, 2.48)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#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1.34 (0.55, 3.27)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1.28 (0.71, 2.32)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1.15 (0.88, 1.49)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986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1.43 (1.26, 1.63)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IL-6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1550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1.75 (1.63, 1.89)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1.66 (1.37, 2.02)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420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1.79 (1.64, 1.94)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*$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^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1.26 (0.93, 1.73)†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%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1.61 (1.21, 2.15)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1.36 (1.18, 1.56)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963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1.4 (1.31, 1.5)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S-ICAM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1577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286.31 (275.07, 298)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116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293.75 (272.99, 316.09)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432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290.43 (274.99, 306.75)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^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259.68 (212.08, 317.96)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227.81 (208.25, 249.2)†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114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225.93 (208.34, 245)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975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211.97 (204.43, 219.78)</w:t>
            </w:r>
          </w:p>
        </w:tc>
      </w:tr>
      <w:tr w:rsidR="00B0274A" w:rsidRPr="00864C9A" w:rsidTr="00301669">
        <w:trPr>
          <w:trHeight w:val="288"/>
        </w:trPr>
        <w:tc>
          <w:tcPr>
            <w:tcW w:w="864" w:type="dxa"/>
            <w:shd w:val="clear" w:color="auto" w:fill="auto"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Fibrinogen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1555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337.79 (327.72, 348.16)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345.1 (326.31, 364.97)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423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346.47 (334.56, 358.8)</w:t>
            </w:r>
            <w:r>
              <w:rPr>
                <w:rFonts w:eastAsia="Times New Roman" w:cstheme="minorHAnsi"/>
                <w:color w:val="000000"/>
                <w:sz w:val="12"/>
                <w:szCs w:val="12"/>
              </w:rPr>
              <w:t>$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37</w:t>
            </w:r>
            <w:r w:rsidRPr="008B3E64">
              <w:rPr>
                <w:rFonts w:eastAsia="Times New Roman" w:cstheme="minorHAnsi"/>
                <w:color w:val="000000"/>
                <w:sz w:val="12"/>
                <w:szCs w:val="12"/>
                <w:vertAlign w:val="superscript"/>
              </w:rPr>
              <w:t>^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312.11 (270.93, 359.55)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45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304.32 (278.05, 333.07)†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112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312.08 (295.76, 329.3)</w:t>
            </w:r>
          </w:p>
        </w:tc>
        <w:tc>
          <w:tcPr>
            <w:tcW w:w="504" w:type="dxa"/>
            <w:vAlign w:val="center"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960</w:t>
            </w:r>
          </w:p>
        </w:tc>
        <w:tc>
          <w:tcPr>
            <w:tcW w:w="1152" w:type="dxa"/>
            <w:shd w:val="clear" w:color="auto" w:fill="auto"/>
            <w:noWrap/>
            <w:vAlign w:val="center"/>
            <w:hideMark/>
          </w:tcPr>
          <w:p w:rsidR="00B0274A" w:rsidRPr="008B3E64" w:rsidRDefault="00B0274A" w:rsidP="00301669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2"/>
                <w:szCs w:val="12"/>
              </w:rPr>
            </w:pPr>
            <w:r w:rsidRPr="008B3E64">
              <w:rPr>
                <w:rFonts w:eastAsia="Times New Roman" w:cstheme="minorHAnsi"/>
                <w:color w:val="000000"/>
                <w:sz w:val="12"/>
                <w:szCs w:val="12"/>
              </w:rPr>
              <w:t>319.02 (312.5, 325.68)</w:t>
            </w:r>
          </w:p>
        </w:tc>
      </w:tr>
    </w:tbl>
    <w:p w:rsidR="00B0274A" w:rsidRPr="00F30952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  <w:r w:rsidRPr="00F30952">
        <w:rPr>
          <w:rFonts w:eastAsia="Times New Roman" w:cstheme="minorHAnsi"/>
          <w:color w:val="000000"/>
          <w:sz w:val="16"/>
          <w:szCs w:val="16"/>
        </w:rPr>
        <w:t xml:space="preserve">Note: </w:t>
      </w:r>
      <w:r w:rsidRPr="00F30952">
        <w:rPr>
          <w:rFonts w:cstheme="minorHAnsi"/>
          <w:sz w:val="16"/>
          <w:szCs w:val="16"/>
        </w:rPr>
        <w:t xml:space="preserve"> </w:t>
      </w:r>
      <w:r w:rsidRPr="00F30952">
        <w:rPr>
          <w:rFonts w:eastAsia="Times New Roman" w:cstheme="minorHAnsi"/>
          <w:color w:val="000000"/>
          <w:sz w:val="16"/>
          <w:szCs w:val="16"/>
        </w:rPr>
        <w:t>† - vs. exclusive daily cigarette smokers; * - Smokers who vape vs. Frequent dual; % - Vapers who smoke vs. Smokers who vape; &amp; - Infrequent duals vs. Vapers who smoke; $ - vs. exclusive daily e-vapor user.</w:t>
      </w:r>
    </w:p>
    <w:p w:rsidR="00B0274A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  <w:r w:rsidRPr="00F30952">
        <w:rPr>
          <w:rFonts w:eastAsia="Times New Roman" w:cstheme="minorHAnsi"/>
          <w:color w:val="000000"/>
          <w:sz w:val="16"/>
          <w:szCs w:val="16"/>
        </w:rPr>
        <w:t>^ - n&lt;40; # - more than 40% of values were below LOD.</w:t>
      </w:r>
    </w:p>
    <w:p w:rsidR="00B0274A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</w:p>
    <w:p w:rsidR="00B0274A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</w:p>
    <w:p w:rsidR="00B0274A" w:rsidRDefault="00B0274A" w:rsidP="00B0274A">
      <w:pPr>
        <w:spacing w:after="0"/>
        <w:jc w:val="both"/>
        <w:rPr>
          <w:rFonts w:eastAsia="Times New Roman" w:cstheme="minorHAnsi"/>
          <w:color w:val="000000"/>
          <w:sz w:val="16"/>
          <w:szCs w:val="16"/>
        </w:rPr>
      </w:pPr>
    </w:p>
    <w:p w:rsidR="00B0274A" w:rsidRDefault="00B0274A" w:rsidP="00B0274A">
      <w:pPr>
        <w:rPr>
          <w:rFonts w:eastAsia="Times New Roman" w:cstheme="minorHAnsi"/>
          <w:color w:val="000000"/>
          <w:sz w:val="16"/>
          <w:szCs w:val="16"/>
        </w:rPr>
      </w:pPr>
      <w:r>
        <w:rPr>
          <w:rFonts w:eastAsia="Times New Roman" w:cstheme="minorHAnsi"/>
          <w:color w:val="000000"/>
          <w:sz w:val="16"/>
          <w:szCs w:val="16"/>
        </w:rPr>
        <w:br w:type="page"/>
      </w:r>
    </w:p>
    <w:p w:rsidR="00B0274A" w:rsidRPr="003B0CDA" w:rsidRDefault="00B0274A" w:rsidP="00B0274A">
      <w:pPr>
        <w:rPr>
          <w:rFonts w:cstheme="minorHAnsi"/>
          <w:sz w:val="16"/>
          <w:szCs w:val="16"/>
        </w:rPr>
      </w:pPr>
      <w:r w:rsidRPr="003B0CDA">
        <w:rPr>
          <w:rFonts w:cstheme="minorHAnsi"/>
          <w:sz w:val="16"/>
          <w:szCs w:val="16"/>
        </w:rPr>
        <w:lastRenderedPageBreak/>
        <w:t xml:space="preserve">Supplemental Figure S1. </w:t>
      </w:r>
      <w:r w:rsidRPr="00795EBF">
        <w:rPr>
          <w:sz w:val="16"/>
          <w:szCs w:val="16"/>
        </w:rPr>
        <w:t>Exposure to nicotine and acrolein among exclusive cigarette smokers, dual user subgroups, exclusive e-cigarette users, and never tobacco users, Population Assessment of Tobacco and Health Study Wave 1, 2013-2014</w:t>
      </w:r>
    </w:p>
    <w:p w:rsidR="00B0274A" w:rsidRDefault="00B0274A" w:rsidP="00B0274A">
      <w:pPr>
        <w:rPr>
          <w:rFonts w:cstheme="minorHAnsi"/>
          <w:sz w:val="16"/>
        </w:rPr>
      </w:pPr>
      <w:r>
        <w:rPr>
          <w:noProof/>
        </w:rPr>
        <w:drawing>
          <wp:inline distT="0" distB="0" distL="0" distR="0" wp14:anchorId="489E9D08" wp14:editId="07FB2496">
            <wp:extent cx="8229600" cy="31724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74A" w:rsidRPr="00416104" w:rsidRDefault="00B0274A" w:rsidP="00B0274A">
      <w:pPr>
        <w:rPr>
          <w:rFonts w:cstheme="minorHAnsi"/>
          <w:sz w:val="16"/>
        </w:rPr>
      </w:pPr>
      <w:r w:rsidRPr="00416104">
        <w:rPr>
          <w:rFonts w:cstheme="minorHAnsi"/>
          <w:sz w:val="16"/>
        </w:rPr>
        <w:t>Note:  † - vs. exclusive daily cigarette smokers; * - Smokers who vape vs. Frequent dual; % - Vapers who smoke vs. Smokers who vape; &amp; - Infrequent duals vs. Vapers who smoke; $ - vs. exclusive daily e-vapor user.</w:t>
      </w:r>
    </w:p>
    <w:p w:rsidR="00B0274A" w:rsidRDefault="00B0274A" w:rsidP="00B0274A">
      <w:pPr>
        <w:rPr>
          <w:rFonts w:cstheme="minorHAnsi"/>
          <w:sz w:val="16"/>
        </w:rPr>
      </w:pPr>
      <w:r>
        <w:rPr>
          <w:rFonts w:cstheme="minorHAnsi"/>
          <w:sz w:val="16"/>
        </w:rPr>
        <w:br w:type="page"/>
      </w:r>
    </w:p>
    <w:p w:rsidR="00B0274A" w:rsidRPr="003B0CDA" w:rsidRDefault="00B0274A" w:rsidP="00B0274A">
      <w:pPr>
        <w:rPr>
          <w:rFonts w:cstheme="minorHAnsi"/>
          <w:sz w:val="16"/>
          <w:szCs w:val="16"/>
        </w:rPr>
      </w:pPr>
      <w:r w:rsidRPr="003B0CDA">
        <w:rPr>
          <w:rFonts w:cstheme="minorHAnsi"/>
          <w:sz w:val="16"/>
          <w:szCs w:val="16"/>
        </w:rPr>
        <w:lastRenderedPageBreak/>
        <w:t xml:space="preserve">Supplemental Figure S2. </w:t>
      </w:r>
      <w:r w:rsidRPr="00795EBF">
        <w:rPr>
          <w:sz w:val="16"/>
          <w:szCs w:val="16"/>
        </w:rPr>
        <w:t>Biomarkers of potential harm among exclusive cigarette smokers, dual user subgroups, exclusive e-cigarette users, and never tobacco users, Population Assessment of Tobacco and Health Study Wave 1, 2013-2014</w:t>
      </w:r>
    </w:p>
    <w:p w:rsidR="00B0274A" w:rsidRDefault="00B0274A" w:rsidP="00B0274A">
      <w:pPr>
        <w:rPr>
          <w:rFonts w:cstheme="minorHAnsi"/>
          <w:sz w:val="16"/>
        </w:rPr>
      </w:pPr>
      <w:r w:rsidRPr="00416104">
        <w:rPr>
          <w:rFonts w:cstheme="minorHAnsi"/>
          <w:sz w:val="16"/>
        </w:rPr>
        <w:t xml:space="preserve"> </w:t>
      </w:r>
      <w:r>
        <w:rPr>
          <w:noProof/>
        </w:rPr>
        <w:drawing>
          <wp:inline distT="0" distB="0" distL="0" distR="0" wp14:anchorId="48B73874" wp14:editId="37FD8931">
            <wp:extent cx="7055892" cy="2709188"/>
            <wp:effectExtent l="0" t="0" r="0" b="0"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30480" cy="2737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theme="minorHAnsi"/>
          <w:sz w:val="16"/>
        </w:rPr>
        <w:t xml:space="preserve"> </w:t>
      </w:r>
    </w:p>
    <w:p w:rsidR="00B0274A" w:rsidRDefault="00B0274A" w:rsidP="00B0274A">
      <w:pPr>
        <w:spacing w:after="0" w:line="240" w:lineRule="auto"/>
        <w:ind w:left="6930"/>
        <w:rPr>
          <w:rFonts w:cstheme="minorHAnsi"/>
          <w:sz w:val="16"/>
        </w:rPr>
      </w:pPr>
      <w:r w:rsidRPr="00416104">
        <w:rPr>
          <w:rFonts w:cstheme="minorHAnsi"/>
          <w:sz w:val="16"/>
        </w:rPr>
        <w:t>Note:  † - vs. exclusive daily cigarette smokers; * - Smokers who vape vs. Frequent dual; % - Vapers who smoke vs. Smokers who vape; &amp; - Infrequent duals vs. Vapers who smoke; $ - vs. exclusive daily e-vapor user.</w:t>
      </w:r>
    </w:p>
    <w:p w:rsidR="00390883" w:rsidRPr="00B0274A" w:rsidRDefault="00B0274A" w:rsidP="00B0274A">
      <w:pPr>
        <w:spacing w:after="0" w:line="240" w:lineRule="auto"/>
        <w:rPr>
          <w:rFonts w:cstheme="minorHAnsi"/>
          <w:sz w:val="16"/>
        </w:rPr>
      </w:pP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484E87B" wp14:editId="49D77BB1">
            <wp:extent cx="3057099" cy="2300173"/>
            <wp:effectExtent l="0" t="0" r="0" b="5080"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70314" cy="231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0883" w:rsidRPr="00B0274A" w:rsidSect="00F309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74A"/>
    <w:rsid w:val="001A6D85"/>
    <w:rsid w:val="006E330B"/>
    <w:rsid w:val="00B0274A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EA5DA"/>
  <w15:chartTrackingRefBased/>
  <w15:docId w15:val="{A7BC9159-9C5D-4C5E-881D-A1AE854E5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7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2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2021-09-28T17:37:00Z</dcterms:created>
  <dcterms:modified xsi:type="dcterms:W3CDTF">2021-09-28T17:37:00Z</dcterms:modified>
</cp:coreProperties>
</file>