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71D90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Supporting information</w:t>
      </w:r>
    </w:p>
    <w:p w14:paraId="2BA0A828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4D5FD7AE">
      <w:pPr>
        <w:spacing w:line="360" w:lineRule="auto"/>
        <w:jc w:val="center"/>
        <w:rPr>
          <w:rFonts w:ascii="Times New Roman" w:hAnsi="Times New Roman" w:eastAsia="宋体" w:cs="Times New Roman"/>
          <w:sz w:val="28"/>
          <w:szCs w:val="28"/>
          <w:lang w:bidi="ar"/>
        </w:rPr>
      </w:pPr>
      <w:r>
        <w:rPr>
          <w:rFonts w:ascii="Times New Roman" w:hAnsi="Times New Roman" w:eastAsia="宋体" w:cs="Times New Roman"/>
          <w:sz w:val="28"/>
          <w:szCs w:val="28"/>
          <w:lang w:bidi="ar"/>
        </w:rPr>
        <w:t>Hierarchical Cotton Pulp Fiber - Microfibrillated Cellulose Separator for Long-Cycle-Life Aqueous Zinc-Ion Batteries</w:t>
      </w:r>
    </w:p>
    <w:p w14:paraId="70E1FD2F">
      <w:pPr>
        <w:spacing w:before="312" w:beforeLines="1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宋体" w:cs="Times New Roman"/>
          <w:sz w:val="24"/>
          <w:lang w:bidi="ar"/>
        </w:rPr>
        <w:t>Shuai Ding</w:t>
      </w:r>
      <w:r>
        <w:rPr>
          <w:rFonts w:ascii="Times New Roman" w:hAnsi="Times New Roman" w:eastAsia="宋体" w:cs="Times New Roman"/>
          <w:sz w:val="24"/>
          <w:vertAlign w:val="superscript"/>
          <w:lang w:bidi="ar"/>
        </w:rPr>
        <w:t>a</w:t>
      </w:r>
      <w:r>
        <w:rPr>
          <w:rFonts w:ascii="Times New Roman" w:hAnsi="Times New Roman" w:eastAsia="宋体" w:cs="Times New Roman"/>
          <w:sz w:val="24"/>
          <w:lang w:bidi="ar"/>
        </w:rPr>
        <w:t>, Xiaoquan Zhu</w:t>
      </w:r>
      <w:r>
        <w:rPr>
          <w:rFonts w:ascii="Times New Roman" w:hAnsi="Times New Roman" w:eastAsia="宋体" w:cs="Times New Roman"/>
          <w:sz w:val="24"/>
          <w:vertAlign w:val="superscript"/>
          <w:lang w:bidi="ar"/>
        </w:rPr>
        <w:t>a,</w:t>
      </w:r>
      <w:r>
        <w:rPr>
          <w:rFonts w:hint="eastAsia" w:ascii="楷体" w:hAnsi="楷体" w:eastAsia="楷体" w:cs="宋体"/>
          <w:color w:val="000000"/>
          <w:sz w:val="24"/>
          <w:vertAlign w:val="superscript"/>
          <w:lang w:bidi="ar"/>
        </w:rPr>
        <w:t>*</w:t>
      </w:r>
      <w:r>
        <w:rPr>
          <w:rFonts w:ascii="Times New Roman" w:hAnsi="Times New Roman" w:eastAsia="宋体" w:cs="Times New Roman"/>
          <w:sz w:val="24"/>
          <w:lang w:bidi="ar"/>
        </w:rPr>
        <w:t>, Qingtao Ma</w:t>
      </w:r>
      <w:r>
        <w:rPr>
          <w:rFonts w:ascii="Times New Roman" w:hAnsi="Times New Roman" w:eastAsia="宋体" w:cs="Times New Roman"/>
          <w:sz w:val="24"/>
          <w:vertAlign w:val="superscript"/>
          <w:lang w:bidi="ar"/>
        </w:rPr>
        <w:t>b</w:t>
      </w:r>
      <w:r>
        <w:rPr>
          <w:rFonts w:ascii="Times New Roman" w:hAnsi="Times New Roman" w:eastAsia="宋体" w:cs="Times New Roman"/>
          <w:sz w:val="24"/>
          <w:lang w:bidi="ar"/>
        </w:rPr>
        <w:t>,</w:t>
      </w:r>
      <w:bookmarkStart w:id="0" w:name="_GoBack"/>
      <w:bookmarkEnd w:id="0"/>
      <w:r>
        <w:rPr>
          <w:rFonts w:ascii="Times New Roman" w:hAnsi="Times New Roman" w:eastAsia="宋体" w:cs="Times New Roman"/>
          <w:sz w:val="24"/>
          <w:lang w:bidi="ar"/>
        </w:rPr>
        <w:t xml:space="preserve"> </w:t>
      </w:r>
      <w:r>
        <w:rPr>
          <w:rFonts w:hint="eastAsia" w:ascii="Times New Roman" w:hAnsi="Times New Roman" w:cs="Times New Roman"/>
          <w:sz w:val="24"/>
          <w:shd w:val="clear" w:color="auto" w:fill="FFFFFF"/>
        </w:rPr>
        <w:t>Yujie Jing</w:t>
      </w:r>
      <w:r>
        <w:rPr>
          <w:rFonts w:hint="eastAsia" w:ascii="Times New Roman" w:hAnsi="Times New Roman" w:cs="Times New Roman"/>
          <w:sz w:val="24"/>
          <w:vertAlign w:val="superscript"/>
        </w:rPr>
        <w:t>a</w:t>
      </w:r>
      <w:r>
        <w:rPr>
          <w:rFonts w:hint="eastAsia" w:ascii="Times New Roman" w:hAnsi="Times New Roman" w:cs="Times New Roman"/>
          <w:sz w:val="24"/>
          <w:shd w:val="clear" w:color="auto" w:fill="FFFFFF"/>
          <w:lang w:val="en-US" w:eastAsia="zh-CN"/>
        </w:rPr>
        <w:t xml:space="preserve">, </w:t>
      </w:r>
      <w:r>
        <w:rPr>
          <w:rFonts w:ascii="Times New Roman" w:hAnsi="Times New Roman" w:eastAsia="宋体" w:cs="Times New Roman"/>
          <w:sz w:val="24"/>
          <w:lang w:bidi="ar"/>
        </w:rPr>
        <w:t>Lihong Jiang</w:t>
      </w:r>
      <w:r>
        <w:rPr>
          <w:rFonts w:ascii="Times New Roman" w:hAnsi="Times New Roman" w:eastAsia="宋体" w:cs="Times New Roman"/>
          <w:sz w:val="24"/>
          <w:vertAlign w:val="superscript"/>
          <w:lang w:bidi="ar"/>
        </w:rPr>
        <w:t>a</w:t>
      </w:r>
      <w:r>
        <w:rPr>
          <w:rFonts w:ascii="Times New Roman" w:hAnsi="Times New Roman" w:eastAsia="宋体" w:cs="Times New Roman"/>
          <w:sz w:val="24"/>
          <w:lang w:bidi="ar"/>
        </w:rPr>
        <w:t>, Huimin Zhou</w:t>
      </w:r>
      <w:r>
        <w:rPr>
          <w:rFonts w:ascii="Times New Roman" w:hAnsi="Times New Roman" w:eastAsia="宋体" w:cs="Times New Roman"/>
          <w:sz w:val="24"/>
          <w:vertAlign w:val="superscript"/>
          <w:lang w:bidi="ar"/>
        </w:rPr>
        <w:t>a</w:t>
      </w:r>
      <w:r>
        <w:rPr>
          <w:rFonts w:ascii="Times New Roman" w:hAnsi="Times New Roman" w:eastAsia="宋体" w:cs="Times New Roman"/>
          <w:sz w:val="24"/>
          <w:lang w:bidi="ar"/>
        </w:rPr>
        <w:t>, Aoxuan Wang</w:t>
      </w:r>
      <w:r>
        <w:rPr>
          <w:rFonts w:ascii="Times New Roman" w:hAnsi="Times New Roman" w:eastAsia="宋体" w:cs="Times New Roman"/>
          <w:sz w:val="24"/>
          <w:vertAlign w:val="superscript"/>
          <w:lang w:bidi="ar"/>
        </w:rPr>
        <w:t>c,</w:t>
      </w:r>
      <w:r>
        <w:rPr>
          <w:rFonts w:hint="eastAsia" w:ascii="楷体" w:hAnsi="楷体" w:eastAsia="楷体" w:cs="宋体"/>
          <w:color w:val="000000"/>
          <w:sz w:val="24"/>
          <w:vertAlign w:val="superscript"/>
          <w:lang w:bidi="ar"/>
        </w:rPr>
        <w:t>*</w:t>
      </w:r>
      <w:r>
        <w:rPr>
          <w:rFonts w:ascii="Times New Roman" w:hAnsi="Times New Roman" w:eastAsia="宋体" w:cs="Times New Roman"/>
          <w:sz w:val="24"/>
          <w:lang w:bidi="ar"/>
        </w:rPr>
        <w:t>, Xin Xia</w:t>
      </w:r>
      <w:r>
        <w:rPr>
          <w:rFonts w:ascii="Times New Roman" w:hAnsi="Times New Roman" w:eastAsia="宋体" w:cs="Times New Roman"/>
          <w:sz w:val="24"/>
          <w:vertAlign w:val="superscript"/>
          <w:lang w:bidi="ar"/>
        </w:rPr>
        <w:t>a,</w:t>
      </w:r>
      <w:r>
        <w:rPr>
          <w:rFonts w:hint="eastAsia" w:ascii="楷体" w:hAnsi="楷体" w:eastAsia="楷体" w:cs="宋体"/>
          <w:color w:val="000000"/>
          <w:sz w:val="24"/>
          <w:vertAlign w:val="superscript"/>
          <w:lang w:bidi="ar"/>
        </w:rPr>
        <w:t>*</w:t>
      </w:r>
    </w:p>
    <w:p w14:paraId="28BADF26">
      <w:pPr>
        <w:spacing w:before="312" w:beforeLines="100" w:line="360" w:lineRule="auto"/>
        <w:jc w:val="left"/>
        <w:rPr>
          <w:rFonts w:ascii="Times New Roman" w:hAnsi="Times New Roman" w:cs="Times New Roman"/>
          <w:i/>
          <w:szCs w:val="21"/>
        </w:rPr>
      </w:pPr>
      <w:r>
        <w:rPr>
          <w:rFonts w:ascii="Times New Roman" w:hAnsi="Times New Roman" w:eastAsia="宋体" w:cs="Times New Roman"/>
          <w:i/>
          <w:szCs w:val="21"/>
          <w:vertAlign w:val="superscript"/>
          <w:lang w:bidi="ar"/>
        </w:rPr>
        <w:t xml:space="preserve">a </w:t>
      </w:r>
      <w:r>
        <w:rPr>
          <w:rFonts w:ascii="Times New Roman" w:hAnsi="Times New Roman" w:eastAsia="宋体" w:cs="Times New Roman"/>
          <w:i/>
          <w:szCs w:val="21"/>
          <w:lang w:bidi="ar"/>
        </w:rPr>
        <w:t>College of Textile and Clothing, Xinjiang Key Laboratory of Intelligent and Green Textile, Xinjiang University, Urumqi 830046, P. R. China</w:t>
      </w:r>
    </w:p>
    <w:p w14:paraId="240F7E03">
      <w:pPr>
        <w:spacing w:line="360" w:lineRule="auto"/>
        <w:jc w:val="left"/>
        <w:rPr>
          <w:rFonts w:ascii="Times New Roman" w:hAnsi="Times New Roman" w:cs="Times New Roman"/>
          <w:i/>
          <w:szCs w:val="21"/>
        </w:rPr>
      </w:pPr>
      <w:r>
        <w:rPr>
          <w:rFonts w:ascii="Times New Roman" w:hAnsi="Times New Roman" w:eastAsia="宋体" w:cs="Times New Roman"/>
          <w:i/>
          <w:szCs w:val="21"/>
          <w:vertAlign w:val="superscript"/>
          <w:lang w:bidi="ar"/>
        </w:rPr>
        <w:t>b</w:t>
      </w:r>
      <w:r>
        <w:rPr>
          <w:rFonts w:ascii="Times New Roman" w:hAnsi="Times New Roman" w:eastAsia="宋体" w:cs="Times New Roman"/>
          <w:i/>
          <w:szCs w:val="21"/>
          <w:lang w:bidi="ar"/>
        </w:rPr>
        <w:t xml:space="preserve"> State Key Laboratory of Chemistry and Utilization of Carbon Based Energy Resources, College of Chemistry, Xinjiang University, Urumqi, Xinjiang 830017, P. R. China</w:t>
      </w:r>
    </w:p>
    <w:p w14:paraId="0161FE54">
      <w:pPr>
        <w:spacing w:line="360" w:lineRule="auto"/>
        <w:jc w:val="left"/>
        <w:rPr>
          <w:rFonts w:ascii="Times New Roman" w:hAnsi="Times New Roman" w:cs="Times New Roman"/>
          <w:i/>
          <w:szCs w:val="21"/>
        </w:rPr>
      </w:pPr>
      <w:r>
        <w:rPr>
          <w:rFonts w:ascii="Times New Roman" w:hAnsi="Times New Roman" w:eastAsia="宋体" w:cs="Times New Roman"/>
          <w:i/>
          <w:szCs w:val="21"/>
          <w:vertAlign w:val="superscript"/>
          <w:lang w:bidi="ar"/>
        </w:rPr>
        <w:t>c</w:t>
      </w:r>
      <w:r>
        <w:rPr>
          <w:rFonts w:ascii="Times New Roman" w:hAnsi="Times New Roman" w:eastAsia="宋体" w:cs="Times New Roman"/>
          <w:i/>
          <w:szCs w:val="21"/>
          <w:lang w:bidi="ar"/>
        </w:rPr>
        <w:t xml:space="preserve"> School of Chemical Engineering and Technology, Tianjin University, Tianjin 300350, P.R. China</w:t>
      </w:r>
    </w:p>
    <w:p w14:paraId="276689B3">
      <w:pPr>
        <w:spacing w:line="360" w:lineRule="auto"/>
        <w:jc w:val="left"/>
        <w:rPr>
          <w:rFonts w:ascii="Times New Roman" w:hAnsi="Times New Roman" w:cs="Times New Roman"/>
          <w:i/>
          <w:szCs w:val="21"/>
        </w:rPr>
      </w:pPr>
      <w:r>
        <w:rPr>
          <w:rFonts w:ascii="Times New Roman" w:hAnsi="Times New Roman" w:eastAsia="宋体" w:cs="Times New Roman"/>
          <w:i/>
          <w:szCs w:val="21"/>
          <w:lang w:bidi="ar"/>
        </w:rPr>
        <w:t xml:space="preserve">Corresponding author E-mail: </w:t>
      </w:r>
      <w:r>
        <w:fldChar w:fldCharType="begin"/>
      </w:r>
      <w:r>
        <w:instrText xml:space="preserve"> HYPERLINK "mailto:zhuxiaoquan89@163.com" </w:instrText>
      </w:r>
      <w:r>
        <w:fldChar w:fldCharType="separate"/>
      </w:r>
      <w:r>
        <w:rPr>
          <w:rStyle w:val="8"/>
          <w:rFonts w:ascii="Times New Roman" w:hAnsi="Times New Roman" w:eastAsia="宋体" w:cs="Times New Roman"/>
          <w:i/>
          <w:color w:val="auto"/>
          <w:szCs w:val="21"/>
          <w:u w:val="none"/>
        </w:rPr>
        <w:t>zhuxiaoquan89@163.com</w:t>
      </w:r>
      <w:r>
        <w:rPr>
          <w:rStyle w:val="8"/>
          <w:rFonts w:ascii="Times New Roman" w:hAnsi="Times New Roman" w:eastAsia="宋体" w:cs="Times New Roman"/>
          <w:i/>
          <w:color w:val="auto"/>
          <w:szCs w:val="21"/>
          <w:u w:val="none"/>
        </w:rPr>
        <w:fldChar w:fldCharType="end"/>
      </w:r>
      <w:r>
        <w:rPr>
          <w:rFonts w:ascii="Times New Roman" w:hAnsi="Times New Roman" w:eastAsia="宋体" w:cs="Times New Roman"/>
          <w:i/>
          <w:iCs/>
          <w:szCs w:val="21"/>
          <w:lang w:bidi="ar"/>
        </w:rPr>
        <w:t xml:space="preserve"> </w:t>
      </w:r>
      <w:r>
        <w:rPr>
          <w:rFonts w:ascii="Times New Roman" w:hAnsi="Times New Roman" w:eastAsia="宋体" w:cs="Times New Roman"/>
          <w:i/>
          <w:szCs w:val="21"/>
          <w:lang w:bidi="ar"/>
        </w:rPr>
        <w:t xml:space="preserve">(X. Zhu), </w:t>
      </w:r>
      <w:r>
        <w:fldChar w:fldCharType="begin"/>
      </w:r>
      <w:r>
        <w:instrText xml:space="preserve"> HYPERLINK "mailto:aoxuanwang@tju.edu.cn" </w:instrText>
      </w:r>
      <w:r>
        <w:fldChar w:fldCharType="separate"/>
      </w:r>
      <w:r>
        <w:rPr>
          <w:rStyle w:val="8"/>
          <w:rFonts w:ascii="Times New Roman" w:hAnsi="Times New Roman" w:cs="Times New Roman"/>
          <w:i/>
          <w:color w:val="auto"/>
          <w:szCs w:val="21"/>
          <w:u w:val="none"/>
        </w:rPr>
        <w:t>aoxuanwang@tju.edu.cn</w:t>
      </w:r>
      <w:r>
        <w:rPr>
          <w:rStyle w:val="8"/>
          <w:rFonts w:ascii="Times New Roman" w:hAnsi="Times New Roman" w:cs="Times New Roman"/>
          <w:i/>
          <w:color w:val="auto"/>
          <w:szCs w:val="21"/>
          <w:u w:val="none"/>
        </w:rPr>
        <w:fldChar w:fldCharType="end"/>
      </w:r>
    </w:p>
    <w:p w14:paraId="23BD5FD0">
      <w:pPr>
        <w:spacing w:line="360" w:lineRule="auto"/>
        <w:jc w:val="left"/>
        <w:rPr>
          <w:rFonts w:ascii="Times New Roman" w:hAnsi="Times New Roman" w:cs="Times New Roman"/>
          <w:i/>
          <w:szCs w:val="21"/>
        </w:rPr>
      </w:pPr>
      <w:r>
        <w:rPr>
          <w:rFonts w:ascii="Times New Roman" w:hAnsi="Times New Roman" w:eastAsia="宋体" w:cs="Times New Roman"/>
          <w:i/>
          <w:szCs w:val="21"/>
          <w:lang w:bidi="ar"/>
        </w:rPr>
        <w:t xml:space="preserve"> (A. Wang) and </w:t>
      </w:r>
      <w:r>
        <w:rPr>
          <w:rStyle w:val="8"/>
          <w:rFonts w:ascii="Times New Roman" w:hAnsi="Times New Roman" w:eastAsia="宋体" w:cs="Times New Roman"/>
          <w:i/>
          <w:color w:val="auto"/>
          <w:szCs w:val="21"/>
          <w:u w:val="none"/>
        </w:rPr>
        <w:t>xjxiaxin@xju.edu.cn</w:t>
      </w:r>
      <w:r>
        <w:rPr>
          <w:rFonts w:ascii="Times New Roman" w:hAnsi="Times New Roman" w:eastAsia="宋体" w:cs="Times New Roman"/>
          <w:i/>
          <w:szCs w:val="21"/>
          <w:lang w:bidi="ar"/>
        </w:rPr>
        <w:t xml:space="preserve"> (X. Xia)</w:t>
      </w:r>
    </w:p>
    <w:p w14:paraId="33116DFE">
      <w:pPr>
        <w:spacing w:line="360" w:lineRule="auto"/>
        <w:jc w:val="center"/>
        <w:rPr>
          <w:rFonts w:ascii="Times New Roman" w:hAnsi="Times New Roman" w:eastAsia="宋体" w:cs="Times New Roman"/>
          <w:sz w:val="28"/>
          <w:szCs w:val="28"/>
          <w:lang w:bidi="ar"/>
        </w:rPr>
      </w:pPr>
    </w:p>
    <w:p w14:paraId="3EB566AD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</w:rPr>
        <w:t>Experimental section</w:t>
      </w:r>
    </w:p>
    <w:p w14:paraId="276EFE27">
      <w:pPr>
        <w:spacing w:line="440" w:lineRule="exac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1.1 </w:t>
      </w:r>
      <w:r>
        <w:rPr>
          <w:rFonts w:ascii="Times New Roman" w:hAnsi="Times New Roman" w:cs="Times New Roman"/>
          <w:b/>
          <w:bCs/>
          <w:sz w:val="24"/>
        </w:rPr>
        <w:t>Preparation of ammonium vanadium bronze nanobelts</w:t>
      </w:r>
      <w:r>
        <w:rPr>
          <w:rFonts w:hint="eastAsia" w:ascii="Times New Roman" w:hAnsi="Times New Roman" w:cs="Times New Roman"/>
          <w:b/>
          <w:bCs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The NH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V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10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nanobelts were synthesized under hydrothermal conditions. All of the chemical reagents used in this experiment were analytical grade without further purification. In a typical procedure, NH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VO</w:t>
      </w:r>
      <w:r>
        <w:rPr>
          <w:rFonts w:ascii="Times New Roman" w:hAnsi="Times New Roman" w:cs="Times New Roman"/>
          <w:sz w:val="24"/>
          <w:vertAlign w:val="subscript"/>
        </w:rPr>
        <w:t>3</w:t>
      </w:r>
      <w:r>
        <w:rPr>
          <w:rFonts w:ascii="Times New Roman" w:hAnsi="Times New Roman" w:cs="Times New Roman"/>
          <w:sz w:val="24"/>
        </w:rPr>
        <w:t>(1.1699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g) was dissolved in 80℃ deionized water to form a light yellow solution. H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C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(1.</w:t>
      </w:r>
      <w:r>
        <w:rPr>
          <w:rFonts w:hint="eastAsia" w:ascii="Times New Roman" w:hAnsi="Times New Roman" w:cs="Times New Roman"/>
          <w:sz w:val="24"/>
        </w:rPr>
        <w:t xml:space="preserve">3507 </w:t>
      </w:r>
      <w:r>
        <w:rPr>
          <w:rFonts w:ascii="Times New Roman" w:hAnsi="Times New Roman" w:cs="Times New Roman"/>
          <w:sz w:val="24"/>
        </w:rPr>
        <w:t>g) solid powders were directly added to the solution under continuous stirring until the solid was completely dissolved. A clear black-green solution was formed and the resultant system was then transferred into a Teflon-lined autoclave with a stainless steel shell. The autoclave was kept at 140℃ for 48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h and then allowed to cool down to room temperature. The black-green precipitate was collected and washed several times with distilled water. The final product was dried at 110℃ for 5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h in the argon atmosphere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(Zhang et al. 2006).</w:t>
      </w:r>
    </w:p>
    <w:p w14:paraId="5D3F1D5E">
      <w:pPr>
        <w:spacing w:line="440" w:lineRule="exact"/>
        <w:rPr>
          <w:rFonts w:ascii="Times New Roman" w:hAnsi="Times New Roman" w:cs="Times New Roman"/>
          <w:b/>
          <w:bCs/>
          <w:sz w:val="24"/>
        </w:rPr>
      </w:pPr>
    </w:p>
    <w:p w14:paraId="59569037">
      <w:pPr>
        <w:spacing w:line="440" w:lineRule="exact"/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1.2 </w:t>
      </w:r>
      <w:r>
        <w:rPr>
          <w:rFonts w:ascii="Times New Roman" w:hAnsi="Times New Roman" w:cs="Times New Roman"/>
          <w:b/>
          <w:bCs/>
          <w:sz w:val="24"/>
        </w:rPr>
        <w:t>Electrochemical measurements</w:t>
      </w:r>
    </w:p>
    <w:p w14:paraId="68E76B7D">
      <w:pPr>
        <w:spacing w:line="440" w:lineRule="exact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70 wt.% NH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V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10</w:t>
      </w:r>
      <w:r>
        <w:rPr>
          <w:rFonts w:ascii="Times New Roman" w:hAnsi="Times New Roman" w:cs="Times New Roman"/>
          <w:sz w:val="24"/>
        </w:rPr>
        <w:t>, 20 wt.% Super P conductive carbon, and 10 wt.% polyvinylidene fluoride dispersed in N-methyl-2-pyrrolidone were mixed homogeneously and then pasted onto a Ti foil (~</w:t>
      </w:r>
      <w:r>
        <w:rPr>
          <w:rFonts w:hint="eastAsia"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0 μm in thickness). After drying in an oven and cutting, cathode pieces were obtained. For electrochemical measurements, CR20</w:t>
      </w:r>
      <w:r>
        <w:rPr>
          <w:rFonts w:hint="eastAsia" w:ascii="Times New Roman" w:hAnsi="Times New Roman" w:cs="Times New Roman"/>
          <w:sz w:val="24"/>
        </w:rPr>
        <w:t>32</w:t>
      </w:r>
      <w:r>
        <w:rPr>
          <w:rFonts w:ascii="Times New Roman" w:hAnsi="Times New Roman" w:cs="Times New Roman"/>
          <w:sz w:val="24"/>
        </w:rPr>
        <w:t>-type coin cells were used. The Zn</w:t>
      </w:r>
      <w:r>
        <w:rPr>
          <w:rFonts w:hint="eastAsia" w:ascii="Times New Roman" w:hAnsi="Times New Roman" w:cs="Times New Roman"/>
          <w:sz w:val="24"/>
        </w:rPr>
        <w:t>||</w:t>
      </w:r>
      <w:r>
        <w:rPr>
          <w:rFonts w:ascii="Times New Roman" w:hAnsi="Times New Roman" w:cs="Times New Roman"/>
          <w:sz w:val="24"/>
        </w:rPr>
        <w:t>NH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V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10</w:t>
      </w:r>
      <w:r>
        <w:rPr>
          <w:rFonts w:ascii="Times New Roman" w:hAnsi="Times New Roman" w:cs="Times New Roman"/>
          <w:sz w:val="24"/>
        </w:rPr>
        <w:t xml:space="preserve"> batteries were assembled by using NH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V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10</w:t>
      </w:r>
      <w:r>
        <w:rPr>
          <w:rFonts w:ascii="Times New Roman" w:hAnsi="Times New Roman" w:cs="Times New Roman"/>
          <w:sz w:val="24"/>
        </w:rPr>
        <w:t xml:space="preserve"> cathode, zinc metal anode, and 2 M ZnSO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 xml:space="preserve"> aqueous electrolyte. </w:t>
      </w:r>
      <w:r>
        <w:rPr>
          <w:rFonts w:hint="eastAsia" w:ascii="Times New Roman" w:hAnsi="Times New Roman" w:cs="Times New Roman"/>
          <w:sz w:val="24"/>
        </w:rPr>
        <w:t>Two</w:t>
      </w:r>
      <w:r>
        <w:rPr>
          <w:rFonts w:ascii="Times New Roman" w:hAnsi="Times New Roman" w:cs="Times New Roman"/>
          <w:sz w:val="24"/>
        </w:rPr>
        <w:t xml:space="preserve"> types of separators including </w:t>
      </w:r>
      <w:r>
        <w:rPr>
          <w:rFonts w:hint="eastAsia" w:ascii="Times New Roman" w:hAnsi="Times New Roman" w:cs="Times New Roman"/>
          <w:sz w:val="24"/>
        </w:rPr>
        <w:t>CPF-MFC</w:t>
      </w:r>
      <w:r>
        <w:rPr>
          <w:rFonts w:ascii="Times New Roman" w:hAnsi="Times New Roman" w:cs="Times New Roman"/>
          <w:sz w:val="24"/>
        </w:rPr>
        <w:t xml:space="preserve"> separator, </w:t>
      </w:r>
      <w:r>
        <w:rPr>
          <w:rFonts w:hint="eastAsia" w:ascii="Times New Roman" w:hAnsi="Times New Roman" w:cs="Times New Roman"/>
          <w:sz w:val="24"/>
        </w:rPr>
        <w:t>GF</w:t>
      </w:r>
      <w:r>
        <w:rPr>
          <w:rFonts w:ascii="Times New Roman" w:hAnsi="Times New Roman" w:cs="Times New Roman"/>
          <w:sz w:val="24"/>
        </w:rPr>
        <w:t xml:space="preserve"> separator, were used for comparison. The mass loadings of NH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V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10</w:t>
      </w:r>
      <w:r>
        <w:rPr>
          <w:rFonts w:ascii="Times New Roman" w:hAnsi="Times New Roman" w:cs="Times New Roman"/>
          <w:sz w:val="24"/>
        </w:rPr>
        <w:t xml:space="preserve"> in the cathodes were 2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mg cm</w:t>
      </w:r>
      <w:r>
        <w:rPr>
          <w:rFonts w:hint="eastAsia" w:ascii="Times New Roman" w:hAnsi="Times New Roman" w:cs="Times New Roman"/>
          <w:sz w:val="24"/>
          <w:vertAlign w:val="superscript"/>
        </w:rPr>
        <w:t>-</w:t>
      </w:r>
      <w:r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>. As for the electrolyte dosage, approximately 0.1</w:t>
      </w:r>
      <w:r>
        <w:rPr>
          <w:rFonts w:hint="eastAsia"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mL electrolyte was added into each coin cell. The specific capacities of these batteries were calculated based on the mass of cathode active materials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shd w:val="clear" w:color="auto" w:fill="FFFFFF"/>
        </w:rPr>
        <w:t>(Zhou et al. 2022)</w:t>
      </w:r>
      <w:r>
        <w:rPr>
          <w:rFonts w:ascii="Times New Roman" w:hAnsi="Times New Roman" w:cs="Times New Roman"/>
          <w:sz w:val="24"/>
        </w:rPr>
        <w:t>.</w:t>
      </w:r>
    </w:p>
    <w:p w14:paraId="11138EA1">
      <w:pPr>
        <w:pStyle w:val="4"/>
        <w:widowControl/>
        <w:spacing w:beforeAutospacing="0" w:afterAutospacing="0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2. Supplementary figures</w:t>
      </w:r>
    </w:p>
    <w:p w14:paraId="36535F66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hint="eastAsia" w:ascii="Times New Roman" w:hAnsi="Times New Roman" w:cs="Times New Roman"/>
          <w:sz w:val="36"/>
          <w:szCs w:val="36"/>
        </w:rPr>
        <w:drawing>
          <wp:inline distT="0" distB="0" distL="114300" distR="114300">
            <wp:extent cx="5266055" cy="1755775"/>
            <wp:effectExtent l="0" t="0" r="4445" b="9525"/>
            <wp:docPr id="3" name="图片 3" descr="英文S1图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英文S1图_画板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75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FACA3">
      <w:pPr>
        <w:jc w:val="center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Fig. S1</w:t>
      </w:r>
      <w:r>
        <w:rPr>
          <w:rFonts w:hint="eastAsia" w:ascii="Times New Roman" w:hAnsi="Times New Roman" w:cs="Times New Roman"/>
          <w:sz w:val="36"/>
          <w:szCs w:val="36"/>
        </w:rPr>
        <w:t xml:space="preserve"> </w:t>
      </w:r>
      <w:r>
        <w:rPr>
          <w:rFonts w:hint="eastAsia" w:ascii="Times New Roman" w:hAnsi="Times New Roman" w:cs="Times New Roman"/>
          <w:sz w:val="24"/>
        </w:rPr>
        <w:t>SEM images of (a) GF separator and (b) CPF-MFC separator.</w:t>
      </w:r>
    </w:p>
    <w:p w14:paraId="380EC83A">
      <w:pPr>
        <w:spacing w:line="440" w:lineRule="exact"/>
        <w:jc w:val="center"/>
        <w:rPr>
          <w:rFonts w:ascii="Times New Roman" w:hAnsi="Times New Roman" w:cs="Times New Roman"/>
          <w:sz w:val="24"/>
        </w:rPr>
      </w:pPr>
    </w:p>
    <w:p w14:paraId="2A2418D6">
      <w:pPr>
        <w:spacing w:line="440" w:lineRule="exact"/>
        <w:jc w:val="center"/>
        <w:rPr>
          <w:rFonts w:ascii="Times New Roman" w:hAnsi="Times New Roman" w:cs="Times New Roman"/>
          <w:sz w:val="24"/>
        </w:rPr>
      </w:pPr>
    </w:p>
    <w:p w14:paraId="45D99352">
      <w:pPr>
        <w:jc w:val="center"/>
        <w:rPr>
          <w:rFonts w:hint="eastAsia" w:ascii="Times New Roman" w:hAnsi="Times New Roman" w:cs="Times New Roman" w:eastAsiaTheme="minorEastAsia"/>
          <w:sz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lang w:eastAsia="zh-CN"/>
        </w:rPr>
        <w:drawing>
          <wp:inline distT="0" distB="0" distL="114300" distR="114300">
            <wp:extent cx="5255895" cy="1173480"/>
            <wp:effectExtent l="0" t="0" r="1905" b="7620"/>
            <wp:docPr id="4" name="图片 4" descr="英文S-接触角-1_画板 1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英文S-接触角-1_画板 1_画板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598DD">
      <w:pPr>
        <w:jc w:val="center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Fig. S2</w:t>
      </w:r>
      <w:r>
        <w:rPr>
          <w:rFonts w:hint="eastAsia" w:ascii="Times New Roman" w:hAnsi="Times New Roman" w:cs="Times New Roman"/>
          <w:sz w:val="36"/>
          <w:szCs w:val="36"/>
        </w:rPr>
        <w:t xml:space="preserve"> </w:t>
      </w:r>
      <w:r>
        <w:rPr>
          <w:rFonts w:hint="eastAsia" w:ascii="Times New Roman" w:hAnsi="Times New Roman" w:cs="Times New Roman"/>
          <w:sz w:val="24"/>
        </w:rPr>
        <w:t>Contact angle measurements of different fiber surfaces: (a) GF separator; (b) CPF separator;</w:t>
      </w:r>
      <w:r>
        <w:rPr>
          <w:rFonts w:ascii="Times New Roman" w:hAnsi="Times New Roman" w:eastAsia="宋体" w:cs="Times New Roman"/>
          <w:color w:val="333333"/>
          <w:sz w:val="24"/>
          <w:shd w:val="clear" w:color="auto" w:fill="FFFFFF"/>
          <w:lang w:bidi="ar"/>
        </w:rPr>
        <w:t>(</w:t>
      </w:r>
      <w:r>
        <w:rPr>
          <w:rFonts w:hint="eastAsia" w:ascii="Times New Roman" w:hAnsi="Times New Roman" w:eastAsia="宋体" w:cs="Times New Roman"/>
          <w:color w:val="333333"/>
          <w:sz w:val="24"/>
          <w:shd w:val="clear" w:color="auto" w:fill="FFFFFF"/>
          <w:lang w:bidi="ar"/>
        </w:rPr>
        <w:t>c</w:t>
      </w:r>
      <w:r>
        <w:rPr>
          <w:rFonts w:ascii="Times New Roman" w:hAnsi="Times New Roman" w:eastAsia="宋体" w:cs="Times New Roman"/>
          <w:color w:val="333333"/>
          <w:sz w:val="24"/>
          <w:shd w:val="clear" w:color="auto" w:fill="FFFFFF"/>
          <w:lang w:bidi="ar"/>
        </w:rPr>
        <w:t>) MFC separator</w:t>
      </w:r>
    </w:p>
    <w:p w14:paraId="56F63B96">
      <w:pPr>
        <w:spacing w:line="440" w:lineRule="exact"/>
        <w:jc w:val="center"/>
        <w:rPr>
          <w:rFonts w:ascii="Times New Roman" w:hAnsi="Times New Roman" w:cs="Times New Roman"/>
          <w:sz w:val="24"/>
        </w:rPr>
      </w:pPr>
    </w:p>
    <w:p w14:paraId="3F58D983">
      <w:pPr>
        <w:spacing w:line="440" w:lineRule="exact"/>
        <w:jc w:val="center"/>
        <w:rPr>
          <w:rFonts w:ascii="Times New Roman" w:hAnsi="Times New Roman" w:cs="Times New Roman"/>
          <w:sz w:val="24"/>
        </w:rPr>
      </w:pPr>
    </w:p>
    <w:p w14:paraId="4E9D3F45">
      <w:pPr>
        <w:spacing w:line="440" w:lineRule="exact"/>
        <w:jc w:val="center"/>
        <w:rPr>
          <w:rFonts w:ascii="Times New Roman" w:hAnsi="Times New Roman" w:cs="Times New Roman"/>
          <w:sz w:val="36"/>
          <w:szCs w:val="36"/>
        </w:rPr>
      </w:pPr>
    </w:p>
    <w:p w14:paraId="01911B4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hint="eastAsia" w:ascii="Times New Roman" w:hAnsi="Times New Roman" w:cs="Times New Roman"/>
          <w:sz w:val="36"/>
          <w:szCs w:val="36"/>
        </w:rPr>
        <w:drawing>
          <wp:inline distT="0" distB="0" distL="114300" distR="114300">
            <wp:extent cx="4842510" cy="1619885"/>
            <wp:effectExtent l="0" t="0" r="8890" b="5715"/>
            <wp:docPr id="2" name="图片 2" descr="英文S2图-原锌表面电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英文S2图-原锌表面电镜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42510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F3048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 xml:space="preserve">Fig. S3 </w:t>
      </w:r>
      <w:r>
        <w:rPr>
          <w:rFonts w:hint="eastAsia" w:ascii="Times New Roman" w:hAnsi="Times New Roman" w:cs="Times New Roman"/>
          <w:sz w:val="24"/>
        </w:rPr>
        <w:t>(a, b) top-view SEM images of the pristine Zn electrode.</w:t>
      </w:r>
    </w:p>
    <w:p w14:paraId="457BFF51">
      <w:pPr>
        <w:spacing w:line="440" w:lineRule="exact"/>
        <w:jc w:val="center"/>
        <w:rPr>
          <w:rFonts w:ascii="Times New Roman" w:hAnsi="Times New Roman" w:cs="Times New Roman"/>
          <w:sz w:val="36"/>
          <w:szCs w:val="36"/>
        </w:rPr>
      </w:pPr>
    </w:p>
    <w:p w14:paraId="40FE9E77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hint="eastAsia" w:ascii="Times New Roman" w:hAnsi="Times New Roman" w:cs="Times New Roman"/>
          <w:sz w:val="36"/>
          <w:szCs w:val="36"/>
        </w:rPr>
        <w:drawing>
          <wp:inline distT="0" distB="0" distL="114300" distR="114300">
            <wp:extent cx="5016500" cy="5039995"/>
            <wp:effectExtent l="0" t="0" r="0" b="1905"/>
            <wp:docPr id="5" name="图片 5" descr="英文S3图-循环后不同锌横截面电镜-1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英文S3图-循环后不同锌横截面电镜-1_画板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16500" cy="503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2257C">
      <w:pPr>
        <w:widowControl/>
        <w:jc w:val="center"/>
        <w:rPr>
          <w:sz w:val="24"/>
        </w:rPr>
      </w:pPr>
      <w:r>
        <w:rPr>
          <w:rFonts w:ascii="Times New Roman" w:hAnsi="Times New Roman" w:eastAsia="TimesNewRomanPS-BoldMT" w:cs="Times New Roman"/>
          <w:b/>
          <w:bCs/>
          <w:color w:val="000000"/>
          <w:kern w:val="0"/>
          <w:sz w:val="24"/>
          <w:lang w:bidi="ar"/>
        </w:rPr>
        <w:t>Fig. S</w:t>
      </w:r>
      <w:r>
        <w:rPr>
          <w:rFonts w:hint="eastAsia" w:ascii="Times New Roman" w:hAnsi="Times New Roman" w:eastAsia="TimesNewRomanPS-BoldMT" w:cs="Times New Roman"/>
          <w:b/>
          <w:bCs/>
          <w:color w:val="000000"/>
          <w:kern w:val="0"/>
          <w:sz w:val="24"/>
          <w:lang w:bidi="ar"/>
        </w:rPr>
        <w:t>4</w:t>
      </w:r>
      <w:r>
        <w:rPr>
          <w:rFonts w:ascii="TimesNewRomanPS-BoldMT" w:hAnsi="TimesNewRomanPS-BoldMT" w:eastAsia="TimesNewRomanPS-BoldMT" w:cs="TimesNewRomanPS-BoldMT"/>
          <w:b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Cross-sectional SEM images of (a, b) the pristine Zn electrode, (c, d) the Zn electrode with the GF separator after the measurements in Fig.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>6a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, and (e, f) the Zn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electrode with the C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>P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F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>-MFC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 separator after the measurements in Fig.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>6a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.</w:t>
      </w:r>
    </w:p>
    <w:p w14:paraId="6A34A8E3">
      <w:pPr>
        <w:spacing w:line="440" w:lineRule="exact"/>
        <w:jc w:val="center"/>
        <w:rPr>
          <w:rFonts w:ascii="Times New Roman" w:hAnsi="Times New Roman" w:cs="Times New Roman"/>
          <w:sz w:val="36"/>
          <w:szCs w:val="36"/>
        </w:rPr>
      </w:pPr>
    </w:p>
    <w:p w14:paraId="013FF81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hint="eastAsia" w:ascii="Times New Roman" w:hAnsi="Times New Roman" w:cs="Times New Roman"/>
          <w:sz w:val="36"/>
          <w:szCs w:val="36"/>
        </w:rPr>
        <w:drawing>
          <wp:inline distT="0" distB="0" distL="114300" distR="114300">
            <wp:extent cx="4467860" cy="3239770"/>
            <wp:effectExtent l="0" t="0" r="2540" b="11430"/>
            <wp:docPr id="6" name="图片 6" descr="英文S4打磨锌箔-不同隔膜循环后锌箔表面XRD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英文S4打磨锌箔-不同隔膜循环后锌箔表面XRD_画板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6786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C685D">
      <w:pPr>
        <w:jc w:val="center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Fig. S5</w:t>
      </w:r>
      <w:r>
        <w:rPr>
          <w:rFonts w:hint="eastAsia" w:ascii="Times New Roman" w:hAnsi="Times New Roman" w:cs="Times New Roman"/>
          <w:sz w:val="24"/>
        </w:rPr>
        <w:t xml:space="preserve"> XRD patterns of the pristine Zn electrode and Zn electrodes with different separators after the measurements in Fig. 5a.</w:t>
      </w:r>
    </w:p>
    <w:p w14:paraId="72DC7680">
      <w:pPr>
        <w:spacing w:line="440" w:lineRule="exact"/>
        <w:jc w:val="center"/>
        <w:rPr>
          <w:rFonts w:ascii="Times New Roman" w:hAnsi="Times New Roman" w:cs="Times New Roman"/>
          <w:sz w:val="36"/>
          <w:szCs w:val="36"/>
        </w:rPr>
      </w:pPr>
    </w:p>
    <w:p w14:paraId="0EBAF31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hint="eastAsia" w:ascii="Times New Roman" w:hAnsi="Times New Roman" w:cs="Times New Roman"/>
          <w:sz w:val="36"/>
          <w:szCs w:val="36"/>
        </w:rPr>
        <w:drawing>
          <wp:inline distT="0" distB="0" distL="114300" distR="114300">
            <wp:extent cx="4298950" cy="4319905"/>
            <wp:effectExtent l="0" t="0" r="6350" b="10795"/>
            <wp:docPr id="1" name="图片 1" descr="英文S4-不同隔膜锌极不同容量下表面_画板 1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英文S4-不同隔膜锌极不同容量下表面_画板 1_画板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9895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D8344">
      <w:pPr>
        <w:jc w:val="center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 xml:space="preserve">Fig. S6 </w:t>
      </w:r>
      <w:r>
        <w:rPr>
          <w:rFonts w:hint="eastAsia" w:ascii="Times New Roman" w:hAnsi="Times New Roman" w:cs="Times New Roman"/>
          <w:sz w:val="24"/>
        </w:rPr>
        <w:t>Top-view SEM images of the Zn electrodes at the states A and B (illustrated in Fig. 3h): (a, b) at state A with the GF separator, (c, d) at state A with the CPF-MFC separator, (e) at state B with the GF separator, and (f) at state B with the CPF-MFC separator.</w:t>
      </w:r>
    </w:p>
    <w:p w14:paraId="62719879">
      <w:pPr>
        <w:spacing w:line="440" w:lineRule="exact"/>
        <w:rPr>
          <w:rFonts w:ascii="Times New Roman" w:hAnsi="Times New Roman" w:cs="Times New Roman"/>
          <w:sz w:val="36"/>
          <w:szCs w:val="36"/>
        </w:rPr>
      </w:pPr>
    </w:p>
    <w:p w14:paraId="3AF352D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hint="eastAsia" w:ascii="Times New Roman" w:hAnsi="Times New Roman" w:cs="Times New Roman"/>
          <w:sz w:val="36"/>
          <w:szCs w:val="36"/>
        </w:rPr>
        <w:drawing>
          <wp:inline distT="0" distB="0" distL="114300" distR="114300">
            <wp:extent cx="3938905" cy="3239770"/>
            <wp:effectExtent l="0" t="0" r="10795" b="11430"/>
            <wp:docPr id="8" name="图片 8" descr="英文S5-玻纤Zn-Cu半电池容量-库伦效率图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英文S5-玻纤Zn-Cu半电池容量-库伦效率图_画板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38905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CF53E">
      <w:pPr>
        <w:jc w:val="center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Fig. S7</w:t>
      </w:r>
      <w:r>
        <w:rPr>
          <w:rFonts w:hint="eastAsia" w:ascii="Times New Roman" w:hAnsi="Times New Roman" w:cs="Times New Roman"/>
          <w:sz w:val="24"/>
        </w:rPr>
        <w:t xml:space="preserve"> Voltage-capacity profiles of the Zn||Cu cell with the GF separator.</w:t>
      </w:r>
    </w:p>
    <w:p w14:paraId="231912C8">
      <w:pPr>
        <w:spacing w:line="440" w:lineRule="exact"/>
        <w:rPr>
          <w:rFonts w:ascii="Times New Roman" w:hAnsi="Times New Roman" w:cs="Times New Roman"/>
          <w:sz w:val="36"/>
          <w:szCs w:val="36"/>
        </w:rPr>
      </w:pPr>
    </w:p>
    <w:p w14:paraId="13F25288">
      <w:pPr>
        <w:rPr>
          <w:rFonts w:ascii="Times New Roman" w:hAnsi="Times New Roman" w:cs="Times New Roman"/>
          <w:sz w:val="36"/>
          <w:szCs w:val="36"/>
        </w:rPr>
      </w:pPr>
      <w:r>
        <w:rPr>
          <w:rFonts w:hint="eastAsia" w:ascii="Times New Roman" w:hAnsi="Times New Roman" w:cs="Times New Roman"/>
          <w:sz w:val="36"/>
          <w:szCs w:val="36"/>
        </w:rPr>
        <w:drawing>
          <wp:inline distT="0" distB="0" distL="114300" distR="114300">
            <wp:extent cx="5271135" cy="1779270"/>
            <wp:effectExtent l="0" t="0" r="12065" b="11430"/>
            <wp:docPr id="7" name="图片 7" descr="英文S6-原铜电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英文S6-原铜电镜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77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4F702">
      <w:pPr>
        <w:widowControl/>
        <w:jc w:val="center"/>
      </w:pPr>
      <w:r>
        <w:rPr>
          <w:rFonts w:ascii="Times New Roman" w:hAnsi="Times New Roman" w:eastAsia="TimesNewRomanPS-BoldMT" w:cs="Times New Roman"/>
          <w:b/>
          <w:bCs/>
          <w:color w:val="000000"/>
          <w:kern w:val="0"/>
          <w:sz w:val="24"/>
          <w:lang w:bidi="ar"/>
        </w:rPr>
        <w:t>Fig. S</w:t>
      </w:r>
      <w:r>
        <w:rPr>
          <w:rFonts w:hint="eastAsia" w:ascii="Times New Roman" w:hAnsi="Times New Roman" w:eastAsia="TimesNewRomanPS-BoldMT" w:cs="Times New Roman"/>
          <w:b/>
          <w:bCs/>
          <w:color w:val="000000"/>
          <w:kern w:val="0"/>
          <w:sz w:val="24"/>
          <w:lang w:bidi="ar"/>
        </w:rPr>
        <w:t>8</w:t>
      </w:r>
      <w:r>
        <w:rPr>
          <w:rFonts w:ascii="TimesNewRomanPS-BoldMT" w:hAnsi="TimesNewRomanPS-BoldMT" w:eastAsia="TimesNewRomanPS-BoldMT" w:cs="TimesNewRomanPS-BoldMT"/>
          <w:b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SEM images of the pristine Cu foam.</w:t>
      </w:r>
    </w:p>
    <w:p w14:paraId="2094EC22">
      <w:pPr>
        <w:spacing w:line="440" w:lineRule="exact"/>
        <w:rPr>
          <w:rFonts w:ascii="Times New Roman" w:hAnsi="Times New Roman" w:cs="Times New Roman"/>
          <w:sz w:val="36"/>
          <w:szCs w:val="36"/>
        </w:rPr>
      </w:pPr>
    </w:p>
    <w:p w14:paraId="0C33971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hint="eastAsia" w:ascii="Times New Roman" w:hAnsi="Times New Roman" w:cs="Times New Roman"/>
          <w:sz w:val="36"/>
          <w:szCs w:val="36"/>
        </w:rPr>
        <w:drawing>
          <wp:inline distT="0" distB="0" distL="114300" distR="114300">
            <wp:extent cx="4511675" cy="3239770"/>
            <wp:effectExtent l="0" t="0" r="9525" b="11430"/>
            <wp:docPr id="9" name="图片 9" descr="英文S7-NH4V4O10 XRD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英文S7-NH4V4O10 XRD图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11675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9074E">
      <w:pPr>
        <w:widowControl/>
        <w:jc w:val="center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eastAsia="TimesNewRomanPS-BoldMT" w:cs="Times New Roman"/>
          <w:b/>
          <w:bCs/>
          <w:color w:val="000000"/>
          <w:kern w:val="0"/>
          <w:sz w:val="24"/>
          <w:lang w:bidi="ar"/>
        </w:rPr>
        <w:t>Fig. S</w:t>
      </w:r>
      <w:r>
        <w:rPr>
          <w:rFonts w:hint="eastAsia" w:ascii="Times New Roman" w:hAnsi="Times New Roman" w:eastAsia="TimesNewRomanPS-BoldMT" w:cs="Times New Roman"/>
          <w:b/>
          <w:bCs/>
          <w:color w:val="000000"/>
          <w:kern w:val="0"/>
          <w:sz w:val="24"/>
          <w:lang w:bidi="ar"/>
        </w:rPr>
        <w:t>9</w:t>
      </w:r>
      <w:r>
        <w:rPr>
          <w:rFonts w:ascii="TimesNewRomanPS-BoldMT" w:hAnsi="TimesNewRomanPS-BoldMT" w:eastAsia="TimesNewRomanPS-BoldMT" w:cs="TimesNewRomanPS-BoldMT"/>
          <w:b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XRD patterns of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>NH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vertAlign w:val="subscript"/>
          <w:lang w:bidi="ar"/>
        </w:rPr>
        <w:t>4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>V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vertAlign w:val="subscript"/>
          <w:lang w:bidi="ar"/>
        </w:rPr>
        <w:t>4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>O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vertAlign w:val="subscript"/>
          <w:lang w:bidi="ar"/>
        </w:rPr>
        <w:t>10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.</w:t>
      </w:r>
    </w:p>
    <w:p w14:paraId="50DA1806">
      <w:pPr>
        <w:widowControl/>
        <w:spacing w:line="440" w:lineRule="exact"/>
        <w:jc w:val="left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</w:p>
    <w:p w14:paraId="59D86C1B"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drawing>
          <wp:inline distT="0" distB="0" distL="114300" distR="114300">
            <wp:extent cx="5271135" cy="1763395"/>
            <wp:effectExtent l="0" t="0" r="12065" b="1905"/>
            <wp:docPr id="17" name="图片 17" descr="英文S7-1-NH4V4O10 电镜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英文S7-1-NH4V4O10 电镜图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81E0D">
      <w:pPr>
        <w:widowControl/>
        <w:jc w:val="center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eastAsia="TimesNewRomanPS-BoldMT" w:cs="Times New Roman"/>
          <w:b/>
          <w:bCs/>
          <w:color w:val="000000"/>
          <w:kern w:val="0"/>
          <w:sz w:val="24"/>
          <w:lang w:bidi="ar"/>
        </w:rPr>
        <w:t>Fig. S</w:t>
      </w:r>
      <w:r>
        <w:rPr>
          <w:rFonts w:hint="eastAsia" w:ascii="Times New Roman" w:hAnsi="Times New Roman" w:eastAsia="TimesNewRomanPS-BoldMT" w:cs="Times New Roman"/>
          <w:b/>
          <w:bCs/>
          <w:color w:val="000000"/>
          <w:kern w:val="0"/>
          <w:sz w:val="24"/>
          <w:lang w:bidi="ar"/>
        </w:rPr>
        <w:t>10</w:t>
      </w:r>
      <w:r>
        <w:rPr>
          <w:rFonts w:ascii="TimesNewRomanPS-BoldMT" w:hAnsi="TimesNewRomanPS-BoldMT" w:eastAsia="TimesNewRomanPS-BoldMT" w:cs="TimesNewRomanPS-BoldMT"/>
          <w:b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SEM images of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>NH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vertAlign w:val="subscript"/>
          <w:lang w:bidi="ar"/>
        </w:rPr>
        <w:t>4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>V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vertAlign w:val="subscript"/>
          <w:lang w:bidi="ar"/>
        </w:rPr>
        <w:t>4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>O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vertAlign w:val="subscript"/>
          <w:lang w:bidi="ar"/>
        </w:rPr>
        <w:t>10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.</w:t>
      </w:r>
    </w:p>
    <w:p w14:paraId="5865B52F">
      <w:pPr>
        <w:widowControl/>
        <w:spacing w:line="440" w:lineRule="exact"/>
        <w:jc w:val="left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</w:p>
    <w:p w14:paraId="50E4AB75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hint="eastAsia" w:ascii="Times New Roman" w:hAnsi="Times New Roman" w:cs="Times New Roman"/>
          <w:sz w:val="36"/>
          <w:szCs w:val="36"/>
        </w:rPr>
        <w:drawing>
          <wp:inline distT="0" distB="0" distL="114300" distR="114300">
            <wp:extent cx="4887595" cy="3239770"/>
            <wp:effectExtent l="0" t="0" r="1905" b="11430"/>
            <wp:docPr id="11" name="图片 11" descr="英文S9-不同隔膜在全电池1A g-1下库伦效率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英文S9-不同隔膜在全电池1A g-1下库伦效率_画板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87595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28A1B">
      <w:pPr>
        <w:widowControl/>
        <w:jc w:val="center"/>
      </w:pPr>
      <w:r>
        <w:rPr>
          <w:rFonts w:ascii="Times New Roman" w:hAnsi="Times New Roman" w:eastAsia="TimesNewRomanPS-BoldMT" w:cs="Times New Roman"/>
          <w:b/>
          <w:bCs/>
          <w:color w:val="000000"/>
          <w:kern w:val="0"/>
          <w:sz w:val="24"/>
          <w:lang w:bidi="ar"/>
        </w:rPr>
        <w:t>Fig. S1</w:t>
      </w:r>
      <w:r>
        <w:rPr>
          <w:rFonts w:hint="eastAsia" w:ascii="Times New Roman" w:hAnsi="Times New Roman" w:eastAsia="TimesNewRomanPS-BoldMT" w:cs="Times New Roman"/>
          <w:b/>
          <w:bCs/>
          <w:color w:val="000000"/>
          <w:kern w:val="0"/>
          <w:sz w:val="24"/>
          <w:lang w:bidi="ar"/>
        </w:rPr>
        <w:t>1</w:t>
      </w:r>
      <w:r>
        <w:rPr>
          <w:rFonts w:ascii="TimesNewRomanPS-BoldMT" w:hAnsi="TimesNewRomanPS-BoldMT" w:eastAsia="TimesNewRomanPS-BoldMT" w:cs="TimesNewRomanPS-BoldMT"/>
          <w:b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CE values of Zn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>||NH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vertAlign w:val="subscript"/>
          <w:lang w:bidi="ar"/>
        </w:rPr>
        <w:t>4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>V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vertAlign w:val="subscript"/>
          <w:lang w:bidi="ar"/>
        </w:rPr>
        <w:t>4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>O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vertAlign w:val="subscript"/>
          <w:lang w:bidi="ar"/>
        </w:rPr>
        <w:t>10</w:t>
      </w:r>
      <w:r>
        <w:rPr>
          <w:rFonts w:ascii="Times New Roman" w:hAnsi="Times New Roman" w:eastAsia="宋体" w:cs="Times New Roman"/>
          <w:color w:val="000000"/>
          <w:kern w:val="0"/>
          <w:sz w:val="16"/>
          <w:szCs w:val="16"/>
          <w:lang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batteries with different separators at 1 A g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vertAlign w:val="superscript"/>
          <w:lang w:bidi="ar"/>
        </w:rPr>
        <w:t>-1</w:t>
      </w:r>
      <w:r>
        <w:rPr>
          <w:rFonts w:ascii="Times New Roman" w:hAnsi="Times New Roman" w:eastAsia="宋体" w:cs="Times New Roman"/>
          <w:color w:val="000000"/>
          <w:kern w:val="0"/>
          <w:sz w:val="16"/>
          <w:szCs w:val="16"/>
          <w:vertAlign w:val="subscript"/>
          <w:lang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.</w:t>
      </w:r>
    </w:p>
    <w:p w14:paraId="63C92F82">
      <w:pPr>
        <w:rPr>
          <w:rFonts w:ascii="Times New Roman" w:hAnsi="Times New Roman" w:eastAsia="宋体" w:cs="Times New Roman"/>
          <w:color w:val="0000FF"/>
          <w:sz w:val="24"/>
          <w:shd w:val="clear" w:color="auto" w:fill="FFFFFF"/>
        </w:rPr>
      </w:pPr>
    </w:p>
    <w:p w14:paraId="38307840">
      <w:pPr>
        <w:rPr>
          <w:rFonts w:ascii="Times New Roman" w:hAnsi="Times New Roman" w:cs="Times New Roman"/>
          <w:sz w:val="24"/>
        </w:rPr>
      </w:pPr>
    </w:p>
    <w:p w14:paraId="368209EA">
      <w:pPr>
        <w:rPr>
          <w:rFonts w:ascii="Times New Roman" w:hAnsi="Times New Roman" w:cs="Times New Roman"/>
          <w:sz w:val="24"/>
        </w:rPr>
      </w:pPr>
    </w:p>
    <w:p w14:paraId="35C3279B">
      <w:pPr>
        <w:rPr>
          <w:rFonts w:ascii="Times New Roman" w:hAnsi="Times New Roman" w:cs="Times New Roman"/>
          <w:sz w:val="24"/>
        </w:rPr>
      </w:pPr>
    </w:p>
    <w:p w14:paraId="1AD337BB">
      <w:pPr>
        <w:rPr>
          <w:rFonts w:ascii="Times New Roman" w:hAnsi="Times New Roman" w:cs="Times New Roman"/>
          <w:sz w:val="24"/>
        </w:rPr>
      </w:pPr>
    </w:p>
    <w:p w14:paraId="340DD348">
      <w:pPr>
        <w:rPr>
          <w:rFonts w:ascii="Times New Roman" w:hAnsi="Times New Roman" w:cs="Times New Roman"/>
          <w:sz w:val="24"/>
        </w:rPr>
      </w:pPr>
    </w:p>
    <w:p w14:paraId="116F3C8A">
      <w:pPr>
        <w:rPr>
          <w:rFonts w:ascii="Times New Roman" w:hAnsi="Times New Roman" w:cs="Times New Roman"/>
          <w:sz w:val="24"/>
        </w:rPr>
      </w:pPr>
    </w:p>
    <w:p w14:paraId="73722344">
      <w:pPr>
        <w:rPr>
          <w:rFonts w:ascii="Times New Roman" w:hAnsi="Times New Roman" w:cs="Times New Roman"/>
          <w:sz w:val="24"/>
        </w:rPr>
      </w:pPr>
    </w:p>
    <w:p w14:paraId="7CBFDD30">
      <w:pPr>
        <w:rPr>
          <w:rFonts w:ascii="Times New Roman" w:hAnsi="Times New Roman" w:cs="Times New Roman"/>
          <w:sz w:val="24"/>
        </w:rPr>
      </w:pPr>
    </w:p>
    <w:p w14:paraId="67957372">
      <w:pPr>
        <w:rPr>
          <w:rFonts w:ascii="Times New Roman" w:hAnsi="Times New Roman" w:cs="Times New Roman"/>
          <w:sz w:val="24"/>
        </w:rPr>
      </w:pPr>
    </w:p>
    <w:p w14:paraId="6B7AC3BD">
      <w:pPr>
        <w:rPr>
          <w:rFonts w:ascii="Times New Roman" w:hAnsi="Times New Roman" w:cs="Times New Roman"/>
          <w:sz w:val="24"/>
        </w:rPr>
      </w:pPr>
    </w:p>
    <w:p w14:paraId="5FB41601">
      <w:pPr>
        <w:rPr>
          <w:rFonts w:ascii="Times New Roman" w:hAnsi="Times New Roman" w:cs="Times New Roman"/>
          <w:sz w:val="24"/>
        </w:rPr>
      </w:pPr>
    </w:p>
    <w:p w14:paraId="1ABD1761">
      <w:pPr>
        <w:rPr>
          <w:rFonts w:ascii="Times New Roman" w:hAnsi="Times New Roman" w:cs="Times New Roman"/>
          <w:sz w:val="24"/>
        </w:rPr>
      </w:pPr>
    </w:p>
    <w:p w14:paraId="6336B71B">
      <w:pPr>
        <w:rPr>
          <w:rFonts w:ascii="Times New Roman" w:hAnsi="Times New Roman" w:cs="Times New Roman"/>
          <w:sz w:val="24"/>
        </w:rPr>
      </w:pPr>
    </w:p>
    <w:p w14:paraId="39F63F6B">
      <w:pPr>
        <w:pStyle w:val="12"/>
        <w:ind w:left="400" w:hanging="400" w:hanging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Zhang K-F, Zhang G-Q, Liu X et al (2006) Large scale hydrothermal synthesis and electrochemistry of ammonium vanadium bronze nanobelts. J. Power Sources 157:528-532. https://doi.org/10.1016/j.jpowsour.2005.07.043</w:t>
      </w:r>
    </w:p>
    <w:p w14:paraId="6A914BB5">
      <w:pPr>
        <w:pStyle w:val="12"/>
        <w:ind w:left="400" w:hanging="400" w:hangingChars="200"/>
      </w:pPr>
      <w:r>
        <w:rPr>
          <w:rFonts w:ascii="Times New Roman" w:hAnsi="Times New Roman" w:cs="Times New Roman"/>
        </w:rPr>
        <w:t>Zhou W, Chen M, Tian Q et al (2022) Cotton-derived cellulose film as a dendrite-inhibiting separator to stabilize the zinc metal anode of aqueous zinc ion batteries. Energy Storage Mater. 44:57-65. https://doi.org/10.1016/j.ensm.2021.10.002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dvOTaa6301a5.B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FE7F43"/>
    <w:multiLevelType w:val="singleLevel"/>
    <w:tmpl w:val="82FE7F4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xtLCwsDSyNDA1NDE1N7BQ0lEKTi0uzszPAykwrAUAME9wPiwAAAA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1EFE71AC"/>
    <w:rsid w:val="00247A48"/>
    <w:rsid w:val="005E482F"/>
    <w:rsid w:val="00B012B9"/>
    <w:rsid w:val="00E34A13"/>
    <w:rsid w:val="00E47974"/>
    <w:rsid w:val="00ED6AA2"/>
    <w:rsid w:val="0D2E0AE1"/>
    <w:rsid w:val="0E9130DC"/>
    <w:rsid w:val="0FCB7566"/>
    <w:rsid w:val="1248377C"/>
    <w:rsid w:val="1EFE71AC"/>
    <w:rsid w:val="20F915D3"/>
    <w:rsid w:val="22E01B6D"/>
    <w:rsid w:val="23E93F3F"/>
    <w:rsid w:val="26844C01"/>
    <w:rsid w:val="2AFB4FC0"/>
    <w:rsid w:val="2C6F2701"/>
    <w:rsid w:val="344E714D"/>
    <w:rsid w:val="416663DB"/>
    <w:rsid w:val="44EF65B6"/>
    <w:rsid w:val="47835EC1"/>
    <w:rsid w:val="53626B0C"/>
    <w:rsid w:val="607E2BDE"/>
    <w:rsid w:val="68E141F7"/>
    <w:rsid w:val="73E6120B"/>
    <w:rsid w:val="74467128"/>
    <w:rsid w:val="7D2C29DC"/>
    <w:rsid w:val="7EB9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FollowedHyperlink"/>
    <w:basedOn w:val="6"/>
    <w:qFormat/>
    <w:uiPriority w:val="0"/>
    <w:rPr>
      <w:color w:val="7E1FAD"/>
      <w:u w:val="single"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customStyle="1" w:styleId="9">
    <w:name w:val="Head 1"/>
    <w:basedOn w:val="1"/>
    <w:qFormat/>
    <w:uiPriority w:val="0"/>
    <w:pPr>
      <w:spacing w:line="360" w:lineRule="auto"/>
    </w:pPr>
    <w:rPr>
      <w:b/>
    </w:rPr>
  </w:style>
  <w:style w:type="paragraph" w:customStyle="1" w:styleId="10">
    <w:name w:val="targe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11">
    <w:name w:val="EndNote Bibliography Title"/>
    <w:qFormat/>
    <w:uiPriority w:val="0"/>
    <w:pPr>
      <w:jc w:val="center"/>
    </w:pPr>
    <w:rPr>
      <w:rFonts w:ascii="Calibri" w:hAnsi="Calibri" w:cs="Calibri" w:eastAsiaTheme="minorEastAsia"/>
      <w:kern w:val="2"/>
      <w:szCs w:val="24"/>
      <w:lang w:val="en-US" w:eastAsia="zh-CN" w:bidi="ar-SA"/>
    </w:rPr>
  </w:style>
  <w:style w:type="paragraph" w:customStyle="1" w:styleId="12">
    <w:name w:val="EndNote Bibliography"/>
    <w:qFormat/>
    <w:uiPriority w:val="0"/>
    <w:pPr>
      <w:jc w:val="both"/>
    </w:pPr>
    <w:rPr>
      <w:rFonts w:ascii="Calibri" w:hAnsi="Calibri" w:cs="Calibri" w:eastAsiaTheme="minorEastAsia"/>
      <w:kern w:val="2"/>
      <w:szCs w:val="24"/>
      <w:lang w:val="en-US" w:eastAsia="zh-CN" w:bidi="ar-SA"/>
    </w:rPr>
  </w:style>
  <w:style w:type="character" w:customStyle="1" w:styleId="13">
    <w:name w:val="EndNote Bibliography 字符"/>
    <w:basedOn w:val="6"/>
    <w:qFormat/>
    <w:uiPriority w:val="0"/>
    <w:rPr>
      <w:rFonts w:hint="default" w:ascii="Calibri" w:hAnsi="Calibri" w:eastAsia="等线" w:cs="Calibri"/>
      <w:kern w:val="2"/>
      <w:szCs w:val="24"/>
    </w:rPr>
  </w:style>
  <w:style w:type="character" w:customStyle="1" w:styleId="14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fontstyle01"/>
    <w:basedOn w:val="6"/>
    <w:qFormat/>
    <w:uiPriority w:val="0"/>
    <w:rPr>
      <w:rFonts w:hint="default" w:ascii="AdvOTaa6301a5.B" w:hAnsi="AdvOTaa6301a5.B"/>
      <w:color w:val="242021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637</Words>
  <Characters>3554</Characters>
  <Lines>174</Lines>
  <Paragraphs>54</Paragraphs>
  <TotalTime>0</TotalTime>
  <ScaleCrop>false</ScaleCrop>
  <LinksUpToDate>false</LinksUpToDate>
  <CharactersWithSpaces>4166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2026-02-27T13:34:00Z</dcterms:created>
  <dc:creator>读书人</dc:creator>
  <cp:lastModifiedBy>读书人</cp:lastModifiedBy>
  <dcterms:modified xsi:type="dcterms:W3CDTF">2026-08-17T02:20:46Z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D2D327C65AE443B88FE3E04778D3CDFA_13</vt:lpwstr>
  </property>
  <property fmtid="{D5CDD505-2E9C-101B-9397-08002B2CF9AE}" pid="4" name="KSOTemplateDocerSaveRecord">
    <vt:lpwstr>eyJoZGlkIjoiNDZkN2QwZTY3NDkxMTA1ZTE1Y2UzNDEzYjE4ZWFlYTkiLCJ1c2VySWQiOiIxMTY3MjYyODIzIn0=</vt:lpwstr>
  </property>
</Properties>
</file>